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FDE8" w14:textId="77777777" w:rsidR="000E2C35" w:rsidRDefault="00D077D9" w:rsidP="006A2DCC">
      <w:r>
        <w:rPr>
          <w:noProof/>
        </w:rPr>
        <w:drawing>
          <wp:anchor distT="0" distB="0" distL="114300" distR="114300" simplePos="0" relativeHeight="251657728" behindDoc="1" locked="0" layoutInCell="1" allowOverlap="1" wp14:anchorId="4E13A48C" wp14:editId="629C78F5">
            <wp:simplePos x="0" y="0"/>
            <wp:positionH relativeFrom="column">
              <wp:posOffset>2098040</wp:posOffset>
            </wp:positionH>
            <wp:positionV relativeFrom="paragraph">
              <wp:posOffset>-14605</wp:posOffset>
            </wp:positionV>
            <wp:extent cx="4232502" cy="3000375"/>
            <wp:effectExtent l="0" t="0" r="0" b="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26807" w14:textId="77777777" w:rsidR="000E2C35" w:rsidRDefault="000E2C35" w:rsidP="006A2DCC"/>
    <w:p w14:paraId="39ED979B"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7D930A3" wp14:editId="522BAAB1">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0AE9" w14:textId="77777777" w:rsidR="001A6D98" w:rsidRDefault="001A6D98"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14:paraId="3A2E6270" w14:textId="77777777" w:rsidR="00F15879" w:rsidRPr="00E36C2C" w:rsidRDefault="001A6D98"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20833BB4"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D930A3"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5D8B0AE9" w14:textId="77777777" w:rsidR="001A6D98" w:rsidRDefault="001A6D98"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14:paraId="3A2E6270" w14:textId="77777777" w:rsidR="00F15879" w:rsidRPr="00E36C2C" w:rsidRDefault="001A6D98"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20833BB4" w14:textId="77777777" w:rsidR="00F15879" w:rsidRPr="00E36C2C" w:rsidRDefault="00F15879" w:rsidP="00F15879">
                      <w:pPr>
                        <w:rPr>
                          <w:color w:val="FFFFFF"/>
                          <w:sz w:val="36"/>
                          <w:szCs w:val="36"/>
                        </w:rPr>
                      </w:pPr>
                    </w:p>
                  </w:txbxContent>
                </v:textbox>
              </v:shape>
            </w:pict>
          </mc:Fallback>
        </mc:AlternateContent>
      </w:r>
    </w:p>
    <w:p w14:paraId="6ADDDE96" w14:textId="77777777" w:rsidR="000E2C35" w:rsidRDefault="000E2C35" w:rsidP="006A2DCC"/>
    <w:p w14:paraId="5CB1130E" w14:textId="77777777" w:rsidR="000E2C35" w:rsidRDefault="000E2C35" w:rsidP="006A2DCC"/>
    <w:p w14:paraId="1034F5F4"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70401B18" wp14:editId="665C5CE8">
                <wp:simplePos x="0" y="0"/>
                <wp:positionH relativeFrom="column">
                  <wp:posOffset>3449955</wp:posOffset>
                </wp:positionH>
                <wp:positionV relativeFrom="paragraph">
                  <wp:posOffset>30480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4F413112" w14:textId="77777777" w:rsid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13047002" w14:textId="77777777" w:rsidR="00395C96"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Retirement </w:t>
                            </w:r>
                          </w:p>
                          <w:p w14:paraId="2C49C8DB" w14:textId="77777777" w:rsidR="00395C96" w:rsidRP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Policy</w:t>
                            </w:r>
                          </w:p>
                          <w:p w14:paraId="25AB4204"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401B18" id="_x0000_s1027" type="#_x0000_t202" style="position:absolute;margin-left:271.65pt;margin-top:2.4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" filled="f" stroked="f">
                <v:textbox style="mso-fit-shape-to-text:t">
                  <w:txbxContent>
                    <w:p w14:paraId="4F413112" w14:textId="77777777" w:rsid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13047002" w14:textId="77777777" w:rsidR="00395C96"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Retirement </w:t>
                      </w:r>
                    </w:p>
                    <w:p w14:paraId="2C49C8DB" w14:textId="77777777" w:rsidR="00395C96" w:rsidRP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Policy</w:t>
                      </w:r>
                    </w:p>
                    <w:p w14:paraId="25AB4204" w14:textId="77777777" w:rsidR="003E2C80" w:rsidRDefault="003E2C80"/>
                  </w:txbxContent>
                </v:textbox>
              </v:shape>
            </w:pict>
          </mc:Fallback>
        </mc:AlternateContent>
      </w:r>
    </w:p>
    <w:p w14:paraId="5ACC3A66" w14:textId="77777777" w:rsidR="000E2C35" w:rsidRDefault="000E2C35" w:rsidP="006A2DCC"/>
    <w:p w14:paraId="67E95410" w14:textId="77777777" w:rsidR="000E2C35" w:rsidRDefault="000E2C35" w:rsidP="006A2DCC"/>
    <w:p w14:paraId="7D4AD10F" w14:textId="77777777" w:rsidR="000E2C35" w:rsidRDefault="000E2C35" w:rsidP="006A2DCC"/>
    <w:p w14:paraId="3A433831" w14:textId="77777777" w:rsidR="003E2C80" w:rsidRDefault="003E2C80" w:rsidP="003E2C80">
      <w:pPr>
        <w:pStyle w:val="SubHead"/>
        <w:rPr>
          <w:rFonts w:ascii="Arial" w:hAnsi="Arial" w:cs="Arial"/>
          <w:bCs/>
          <w:sz w:val="24"/>
        </w:rPr>
      </w:pPr>
    </w:p>
    <w:p w14:paraId="3FCF8080" w14:textId="77777777" w:rsidR="003E2C80" w:rsidRDefault="003E2C80" w:rsidP="003E2C80">
      <w:pPr>
        <w:pStyle w:val="SubHead"/>
        <w:rPr>
          <w:rFonts w:ascii="Arial" w:hAnsi="Arial" w:cs="Arial"/>
          <w:bCs/>
          <w:sz w:val="24"/>
        </w:rPr>
      </w:pPr>
    </w:p>
    <w:p w14:paraId="16817A08" w14:textId="77777777" w:rsidR="003E2C80" w:rsidRDefault="003E2C80" w:rsidP="003E2C80">
      <w:pPr>
        <w:pStyle w:val="SubHead"/>
        <w:rPr>
          <w:rFonts w:ascii="Arial" w:hAnsi="Arial" w:cs="Arial"/>
          <w:bCs/>
          <w:sz w:val="24"/>
        </w:rPr>
      </w:pPr>
    </w:p>
    <w:p w14:paraId="00333BFC" w14:textId="77777777" w:rsidR="003E2C80" w:rsidRDefault="003E2C80" w:rsidP="003E2C80">
      <w:pPr>
        <w:pStyle w:val="SubHead"/>
        <w:rPr>
          <w:rFonts w:ascii="Arial" w:hAnsi="Arial" w:cs="Arial"/>
          <w:bCs/>
          <w:sz w:val="24"/>
        </w:rPr>
      </w:pPr>
    </w:p>
    <w:p w14:paraId="4890D311" w14:textId="77777777" w:rsidR="003E2C80" w:rsidRDefault="003E2C80" w:rsidP="003E2C80">
      <w:pPr>
        <w:pStyle w:val="SubHead"/>
        <w:rPr>
          <w:rFonts w:ascii="Arial" w:hAnsi="Arial" w:cs="Arial"/>
          <w:bCs/>
          <w:sz w:val="24"/>
        </w:rPr>
      </w:pPr>
    </w:p>
    <w:p w14:paraId="76FE0692" w14:textId="77777777" w:rsidR="003E2C80" w:rsidRDefault="003E2C80" w:rsidP="003E2C80">
      <w:pPr>
        <w:pStyle w:val="SubHead"/>
        <w:rPr>
          <w:rFonts w:ascii="Arial" w:hAnsi="Arial" w:cs="Arial"/>
          <w:bCs/>
          <w:sz w:val="24"/>
        </w:rPr>
      </w:pPr>
    </w:p>
    <w:p w14:paraId="0A4EFDA3" w14:textId="77777777" w:rsidR="003E2C80" w:rsidRDefault="003E2C80" w:rsidP="003E2C80">
      <w:pPr>
        <w:pStyle w:val="SubHead"/>
        <w:rPr>
          <w:rFonts w:ascii="Arial" w:hAnsi="Arial" w:cs="Arial"/>
          <w:bCs/>
          <w:sz w:val="24"/>
        </w:rPr>
      </w:pPr>
    </w:p>
    <w:p w14:paraId="13650D97" w14:textId="77777777" w:rsidR="003E2C80" w:rsidRDefault="003E2C80" w:rsidP="003E2C80">
      <w:pPr>
        <w:pStyle w:val="SubHead"/>
        <w:rPr>
          <w:rFonts w:ascii="Arial" w:hAnsi="Arial" w:cs="Arial"/>
          <w:bCs/>
          <w:sz w:val="24"/>
        </w:rPr>
      </w:pPr>
    </w:p>
    <w:p w14:paraId="26C71640" w14:textId="77777777" w:rsidR="003E2C80" w:rsidRDefault="003E2C80" w:rsidP="003E2C80">
      <w:pPr>
        <w:pStyle w:val="SubHead"/>
        <w:rPr>
          <w:rFonts w:ascii="Arial" w:hAnsi="Arial" w:cs="Arial"/>
          <w:bCs/>
          <w:sz w:val="24"/>
        </w:rPr>
      </w:pPr>
    </w:p>
    <w:p w14:paraId="3EAD5829" w14:textId="77777777" w:rsidR="00054BD6" w:rsidRDefault="00054BD6" w:rsidP="003E2C80">
      <w:pPr>
        <w:pStyle w:val="SubHead"/>
        <w:rPr>
          <w:rFonts w:ascii="Arial" w:hAnsi="Arial" w:cs="Arial"/>
          <w:bCs/>
          <w:sz w:val="24"/>
        </w:rPr>
      </w:pPr>
    </w:p>
    <w:tbl>
      <w:tblPr>
        <w:tblStyle w:val="TableGrid"/>
        <w:tblW w:w="0" w:type="auto"/>
        <w:jc w:val="center"/>
        <w:tblLook w:val="04A0" w:firstRow="1" w:lastRow="0" w:firstColumn="1" w:lastColumn="0" w:noHBand="0" w:noVBand="1"/>
      </w:tblPr>
      <w:tblGrid>
        <w:gridCol w:w="2122"/>
        <w:gridCol w:w="4467"/>
        <w:gridCol w:w="2687"/>
      </w:tblGrid>
      <w:tr w:rsidR="00054BD6" w:rsidRPr="00566241" w14:paraId="3DBCD290" w14:textId="77777777" w:rsidTr="00BE6A76">
        <w:trPr>
          <w:trHeight w:val="208"/>
          <w:jc w:val="center"/>
        </w:trPr>
        <w:tc>
          <w:tcPr>
            <w:tcW w:w="2122" w:type="dxa"/>
            <w:shd w:val="clear" w:color="auto" w:fill="0082AA"/>
          </w:tcPr>
          <w:p w14:paraId="1B1BFE9B" w14:textId="77777777" w:rsidR="00054BD6" w:rsidRPr="00566241" w:rsidRDefault="00054BD6" w:rsidP="00054BD6">
            <w:pPr>
              <w:pStyle w:val="SubHead"/>
              <w:jc w:val="center"/>
              <w:rPr>
                <w:rFonts w:ascii="Arial" w:hAnsi="Arial" w:cs="Arial"/>
                <w:bCs/>
                <w:color w:val="FFFFFF" w:themeColor="background1"/>
                <w:sz w:val="22"/>
                <w:szCs w:val="22"/>
              </w:rPr>
            </w:pPr>
            <w:r w:rsidRPr="00566241">
              <w:rPr>
                <w:rFonts w:ascii="Arial" w:hAnsi="Arial" w:cs="Arial"/>
                <w:bCs/>
                <w:color w:val="FFFFFF" w:themeColor="background1"/>
                <w:sz w:val="22"/>
                <w:szCs w:val="22"/>
              </w:rPr>
              <w:t>Version</w:t>
            </w:r>
          </w:p>
        </w:tc>
        <w:tc>
          <w:tcPr>
            <w:tcW w:w="4467" w:type="dxa"/>
            <w:shd w:val="clear" w:color="auto" w:fill="0082AA"/>
          </w:tcPr>
          <w:p w14:paraId="1C032E64" w14:textId="77777777" w:rsidR="00054BD6" w:rsidRPr="00566241" w:rsidRDefault="00054BD6" w:rsidP="00054BD6">
            <w:pPr>
              <w:pStyle w:val="SubHead"/>
              <w:jc w:val="center"/>
              <w:rPr>
                <w:rFonts w:ascii="Arial" w:hAnsi="Arial" w:cs="Arial"/>
                <w:bCs/>
                <w:color w:val="FFFFFF" w:themeColor="background1"/>
                <w:sz w:val="22"/>
                <w:szCs w:val="22"/>
              </w:rPr>
            </w:pPr>
            <w:r w:rsidRPr="00566241">
              <w:rPr>
                <w:rFonts w:ascii="Arial" w:hAnsi="Arial" w:cs="Arial"/>
                <w:bCs/>
                <w:color w:val="FFFFFF" w:themeColor="background1"/>
                <w:sz w:val="22"/>
                <w:szCs w:val="22"/>
              </w:rPr>
              <w:t>Changes</w:t>
            </w:r>
          </w:p>
        </w:tc>
        <w:tc>
          <w:tcPr>
            <w:tcW w:w="2687" w:type="dxa"/>
            <w:shd w:val="clear" w:color="auto" w:fill="0082AA"/>
          </w:tcPr>
          <w:p w14:paraId="41178101" w14:textId="77777777" w:rsidR="00054BD6" w:rsidRPr="00566241" w:rsidRDefault="00054BD6" w:rsidP="00054BD6">
            <w:pPr>
              <w:pStyle w:val="SubHead"/>
              <w:jc w:val="center"/>
              <w:rPr>
                <w:rFonts w:ascii="Arial" w:hAnsi="Arial" w:cs="Arial"/>
                <w:bCs/>
                <w:color w:val="FFFFFF" w:themeColor="background1"/>
                <w:sz w:val="22"/>
                <w:szCs w:val="22"/>
              </w:rPr>
            </w:pPr>
            <w:r w:rsidRPr="00566241">
              <w:rPr>
                <w:rFonts w:ascii="Arial" w:hAnsi="Arial" w:cs="Arial"/>
                <w:bCs/>
                <w:color w:val="FFFFFF" w:themeColor="background1"/>
                <w:sz w:val="22"/>
                <w:szCs w:val="22"/>
              </w:rPr>
              <w:t>Author</w:t>
            </w:r>
          </w:p>
        </w:tc>
      </w:tr>
      <w:tr w:rsidR="00054BD6" w:rsidRPr="00566241" w14:paraId="77CD5BC0" w14:textId="77777777" w:rsidTr="00BE6A76">
        <w:trPr>
          <w:trHeight w:val="208"/>
          <w:jc w:val="center"/>
        </w:trPr>
        <w:tc>
          <w:tcPr>
            <w:tcW w:w="2122" w:type="dxa"/>
          </w:tcPr>
          <w:p w14:paraId="0FE6B7EE" w14:textId="4C53320E" w:rsidR="00054BD6" w:rsidRPr="00566241" w:rsidRDefault="00054BD6" w:rsidP="003E2C80">
            <w:pPr>
              <w:pStyle w:val="SubHead"/>
              <w:rPr>
                <w:rFonts w:ascii="Arial" w:hAnsi="Arial" w:cs="Arial"/>
                <w:b w:val="0"/>
                <w:bCs/>
                <w:sz w:val="22"/>
                <w:szCs w:val="22"/>
              </w:rPr>
            </w:pPr>
            <w:r w:rsidRPr="00566241">
              <w:rPr>
                <w:rFonts w:ascii="Arial" w:hAnsi="Arial" w:cs="Arial"/>
                <w:b w:val="0"/>
                <w:bCs/>
                <w:sz w:val="22"/>
                <w:szCs w:val="22"/>
              </w:rPr>
              <w:t>V1 Oct</w:t>
            </w:r>
            <w:r w:rsidR="001B1A51">
              <w:rPr>
                <w:rFonts w:ascii="Arial" w:hAnsi="Arial" w:cs="Arial"/>
                <w:b w:val="0"/>
                <w:bCs/>
                <w:sz w:val="22"/>
                <w:szCs w:val="22"/>
              </w:rPr>
              <w:t>ober</w:t>
            </w:r>
            <w:r w:rsidRPr="00566241">
              <w:rPr>
                <w:rFonts w:ascii="Arial" w:hAnsi="Arial" w:cs="Arial"/>
                <w:b w:val="0"/>
                <w:bCs/>
                <w:sz w:val="22"/>
                <w:szCs w:val="22"/>
              </w:rPr>
              <w:t xml:space="preserve"> 2014 </w:t>
            </w:r>
          </w:p>
        </w:tc>
        <w:tc>
          <w:tcPr>
            <w:tcW w:w="4467" w:type="dxa"/>
          </w:tcPr>
          <w:p w14:paraId="212AE23B" w14:textId="77777777" w:rsidR="00054BD6" w:rsidRPr="00566241" w:rsidRDefault="00054BD6" w:rsidP="003E2C80">
            <w:pPr>
              <w:pStyle w:val="SubHead"/>
              <w:rPr>
                <w:rFonts w:ascii="Arial" w:hAnsi="Arial" w:cs="Arial"/>
                <w:b w:val="0"/>
                <w:bCs/>
                <w:sz w:val="22"/>
                <w:szCs w:val="22"/>
              </w:rPr>
            </w:pPr>
          </w:p>
        </w:tc>
        <w:tc>
          <w:tcPr>
            <w:tcW w:w="2687" w:type="dxa"/>
          </w:tcPr>
          <w:p w14:paraId="0535B0D4" w14:textId="77777777" w:rsidR="00054BD6" w:rsidRPr="00566241" w:rsidRDefault="00054BD6" w:rsidP="003E2C80">
            <w:pPr>
              <w:pStyle w:val="SubHead"/>
              <w:rPr>
                <w:rFonts w:ascii="Arial" w:hAnsi="Arial" w:cs="Arial"/>
                <w:b w:val="0"/>
                <w:bCs/>
                <w:sz w:val="22"/>
                <w:szCs w:val="22"/>
              </w:rPr>
            </w:pPr>
          </w:p>
        </w:tc>
      </w:tr>
      <w:tr w:rsidR="00054BD6" w:rsidRPr="00566241" w14:paraId="4C024AD6" w14:textId="77777777" w:rsidTr="00BE6A76">
        <w:trPr>
          <w:trHeight w:val="439"/>
          <w:jc w:val="center"/>
        </w:trPr>
        <w:tc>
          <w:tcPr>
            <w:tcW w:w="2122" w:type="dxa"/>
          </w:tcPr>
          <w:p w14:paraId="1C45D16F" w14:textId="28B94113" w:rsidR="00054BD6" w:rsidRPr="00566241" w:rsidRDefault="00424F31" w:rsidP="003E2C80">
            <w:pPr>
              <w:pStyle w:val="SubHead"/>
              <w:rPr>
                <w:rFonts w:ascii="Arial" w:hAnsi="Arial" w:cs="Arial"/>
                <w:b w:val="0"/>
                <w:bCs/>
                <w:sz w:val="22"/>
                <w:szCs w:val="22"/>
              </w:rPr>
            </w:pPr>
            <w:r>
              <w:rPr>
                <w:rFonts w:ascii="Arial" w:hAnsi="Arial" w:cs="Arial"/>
                <w:b w:val="0"/>
                <w:bCs/>
                <w:sz w:val="22"/>
                <w:szCs w:val="22"/>
              </w:rPr>
              <w:t xml:space="preserve">V2 </w:t>
            </w:r>
            <w:r w:rsidR="00054BD6" w:rsidRPr="00566241">
              <w:rPr>
                <w:rFonts w:ascii="Arial" w:hAnsi="Arial" w:cs="Arial"/>
                <w:b w:val="0"/>
                <w:bCs/>
                <w:sz w:val="22"/>
                <w:szCs w:val="22"/>
              </w:rPr>
              <w:t xml:space="preserve">January 2019 </w:t>
            </w:r>
          </w:p>
        </w:tc>
        <w:tc>
          <w:tcPr>
            <w:tcW w:w="4467" w:type="dxa"/>
          </w:tcPr>
          <w:p w14:paraId="3D804C64" w14:textId="77777777" w:rsidR="00054BD6" w:rsidRPr="00566241" w:rsidRDefault="00054BD6" w:rsidP="003E2C80">
            <w:pPr>
              <w:pStyle w:val="SubHead"/>
              <w:rPr>
                <w:rFonts w:ascii="Arial" w:hAnsi="Arial" w:cs="Arial"/>
                <w:b w:val="0"/>
                <w:bCs/>
                <w:sz w:val="22"/>
                <w:szCs w:val="22"/>
              </w:rPr>
            </w:pPr>
            <w:r w:rsidRPr="00566241">
              <w:rPr>
                <w:rFonts w:ascii="Arial" w:hAnsi="Arial" w:cs="Arial"/>
                <w:b w:val="0"/>
                <w:bCs/>
                <w:sz w:val="22"/>
                <w:szCs w:val="22"/>
              </w:rPr>
              <w:t xml:space="preserve">Removed links to </w:t>
            </w:r>
            <w:proofErr w:type="gramStart"/>
            <w:r w:rsidRPr="00566241">
              <w:rPr>
                <w:rFonts w:ascii="Arial" w:hAnsi="Arial" w:cs="Arial"/>
                <w:b w:val="0"/>
                <w:bCs/>
                <w:sz w:val="22"/>
                <w:szCs w:val="22"/>
              </w:rPr>
              <w:t>out of date</w:t>
            </w:r>
            <w:proofErr w:type="gramEnd"/>
            <w:r w:rsidRPr="00566241">
              <w:rPr>
                <w:rFonts w:ascii="Arial" w:hAnsi="Arial" w:cs="Arial"/>
                <w:b w:val="0"/>
                <w:bCs/>
                <w:sz w:val="22"/>
                <w:szCs w:val="22"/>
              </w:rPr>
              <w:t xml:space="preserve"> policies / updated changes to team name and job titles  </w:t>
            </w:r>
          </w:p>
        </w:tc>
        <w:tc>
          <w:tcPr>
            <w:tcW w:w="2687" w:type="dxa"/>
          </w:tcPr>
          <w:p w14:paraId="7DFF7396" w14:textId="77777777" w:rsidR="00054BD6" w:rsidRPr="00566241" w:rsidRDefault="00054BD6" w:rsidP="003E2C80">
            <w:pPr>
              <w:pStyle w:val="SubHead"/>
              <w:rPr>
                <w:rFonts w:ascii="Arial" w:hAnsi="Arial" w:cs="Arial"/>
                <w:b w:val="0"/>
                <w:bCs/>
                <w:sz w:val="22"/>
                <w:szCs w:val="22"/>
              </w:rPr>
            </w:pPr>
            <w:r w:rsidRPr="00566241">
              <w:rPr>
                <w:rFonts w:ascii="Arial" w:hAnsi="Arial" w:cs="Arial"/>
                <w:b w:val="0"/>
                <w:bCs/>
                <w:sz w:val="22"/>
                <w:szCs w:val="22"/>
              </w:rPr>
              <w:t xml:space="preserve">People Management </w:t>
            </w:r>
          </w:p>
        </w:tc>
      </w:tr>
      <w:tr w:rsidR="009E1CCA" w:rsidRPr="00566241" w14:paraId="37F98116" w14:textId="77777777" w:rsidTr="00BE6A76">
        <w:trPr>
          <w:trHeight w:val="439"/>
          <w:jc w:val="center"/>
        </w:trPr>
        <w:tc>
          <w:tcPr>
            <w:tcW w:w="2122" w:type="dxa"/>
          </w:tcPr>
          <w:p w14:paraId="0FF1F5A7" w14:textId="45614DE7" w:rsidR="009E1CCA" w:rsidRPr="00566241" w:rsidRDefault="00BE6A76" w:rsidP="003E2C80">
            <w:pPr>
              <w:pStyle w:val="SubHead"/>
              <w:rPr>
                <w:rFonts w:ascii="Arial" w:hAnsi="Arial" w:cs="Arial"/>
                <w:b w:val="0"/>
                <w:bCs/>
                <w:sz w:val="22"/>
                <w:szCs w:val="22"/>
              </w:rPr>
            </w:pPr>
            <w:r>
              <w:rPr>
                <w:rFonts w:ascii="Arial" w:hAnsi="Arial" w:cs="Arial"/>
                <w:b w:val="0"/>
                <w:bCs/>
                <w:sz w:val="22"/>
                <w:szCs w:val="22"/>
              </w:rPr>
              <w:t>V3</w:t>
            </w:r>
            <w:r w:rsidR="0019228D">
              <w:rPr>
                <w:rFonts w:ascii="Arial" w:hAnsi="Arial" w:cs="Arial"/>
                <w:b w:val="0"/>
                <w:bCs/>
                <w:sz w:val="22"/>
                <w:szCs w:val="22"/>
              </w:rPr>
              <w:t xml:space="preserve"> </w:t>
            </w:r>
            <w:r w:rsidR="009E1CCA">
              <w:rPr>
                <w:rFonts w:ascii="Arial" w:hAnsi="Arial" w:cs="Arial"/>
                <w:b w:val="0"/>
                <w:bCs/>
                <w:sz w:val="22"/>
                <w:szCs w:val="22"/>
              </w:rPr>
              <w:t xml:space="preserve">November 2020 </w:t>
            </w:r>
          </w:p>
        </w:tc>
        <w:tc>
          <w:tcPr>
            <w:tcW w:w="4467" w:type="dxa"/>
          </w:tcPr>
          <w:p w14:paraId="5069C6AF" w14:textId="7E5FD5B0" w:rsidR="009E1CCA" w:rsidRPr="00566241" w:rsidRDefault="009E1CCA" w:rsidP="003E2C80">
            <w:pPr>
              <w:pStyle w:val="SubHead"/>
              <w:rPr>
                <w:rFonts w:ascii="Arial" w:hAnsi="Arial" w:cs="Arial"/>
                <w:b w:val="0"/>
                <w:bCs/>
                <w:sz w:val="22"/>
                <w:szCs w:val="22"/>
              </w:rPr>
            </w:pPr>
            <w:r>
              <w:rPr>
                <w:rFonts w:ascii="Arial" w:hAnsi="Arial" w:cs="Arial"/>
                <w:b w:val="0"/>
                <w:bCs/>
                <w:sz w:val="22"/>
                <w:szCs w:val="22"/>
              </w:rPr>
              <w:t>Consent for Pension estimates</w:t>
            </w:r>
          </w:p>
        </w:tc>
        <w:tc>
          <w:tcPr>
            <w:tcW w:w="2687" w:type="dxa"/>
          </w:tcPr>
          <w:p w14:paraId="04F7F833" w14:textId="42222C98" w:rsidR="009E1CCA" w:rsidRPr="00566241" w:rsidRDefault="0007373B" w:rsidP="003E2C80">
            <w:pPr>
              <w:pStyle w:val="SubHead"/>
              <w:rPr>
                <w:rFonts w:ascii="Arial" w:hAnsi="Arial" w:cs="Arial"/>
                <w:b w:val="0"/>
                <w:bCs/>
                <w:sz w:val="22"/>
                <w:szCs w:val="22"/>
              </w:rPr>
            </w:pPr>
            <w:r>
              <w:rPr>
                <w:rFonts w:ascii="Arial" w:hAnsi="Arial" w:cs="Arial"/>
                <w:b w:val="0"/>
                <w:bCs/>
                <w:sz w:val="22"/>
                <w:szCs w:val="22"/>
              </w:rPr>
              <w:t xml:space="preserve">People Management </w:t>
            </w:r>
          </w:p>
        </w:tc>
      </w:tr>
      <w:tr w:rsidR="000817E3" w:rsidRPr="00566241" w14:paraId="618B090B" w14:textId="77777777" w:rsidTr="00BE6A76">
        <w:trPr>
          <w:trHeight w:val="439"/>
          <w:jc w:val="center"/>
        </w:trPr>
        <w:tc>
          <w:tcPr>
            <w:tcW w:w="2122" w:type="dxa"/>
          </w:tcPr>
          <w:p w14:paraId="06D6B469" w14:textId="7E342BAD" w:rsidR="000817E3" w:rsidRDefault="000817E3" w:rsidP="003E2C80">
            <w:pPr>
              <w:pStyle w:val="SubHead"/>
              <w:rPr>
                <w:rFonts w:ascii="Arial" w:hAnsi="Arial" w:cs="Arial"/>
                <w:b w:val="0"/>
                <w:bCs/>
                <w:sz w:val="22"/>
                <w:szCs w:val="22"/>
              </w:rPr>
            </w:pPr>
            <w:r>
              <w:rPr>
                <w:rFonts w:ascii="Arial" w:hAnsi="Arial" w:cs="Arial"/>
                <w:b w:val="0"/>
                <w:bCs/>
                <w:sz w:val="22"/>
                <w:szCs w:val="22"/>
              </w:rPr>
              <w:t>V4</w:t>
            </w:r>
            <w:r w:rsidR="00AC03B3">
              <w:rPr>
                <w:rFonts w:ascii="Arial" w:hAnsi="Arial" w:cs="Arial"/>
                <w:b w:val="0"/>
                <w:bCs/>
                <w:sz w:val="22"/>
                <w:szCs w:val="22"/>
              </w:rPr>
              <w:t xml:space="preserve"> February 2023</w:t>
            </w:r>
          </w:p>
        </w:tc>
        <w:tc>
          <w:tcPr>
            <w:tcW w:w="4467" w:type="dxa"/>
          </w:tcPr>
          <w:p w14:paraId="13B7BECF" w14:textId="77777777" w:rsidR="000817E3" w:rsidRDefault="000817E3" w:rsidP="003E2C80">
            <w:pPr>
              <w:pStyle w:val="SubHead"/>
              <w:rPr>
                <w:rFonts w:ascii="Arial" w:hAnsi="Arial" w:cs="Arial"/>
                <w:b w:val="0"/>
                <w:bCs/>
                <w:sz w:val="22"/>
                <w:szCs w:val="22"/>
              </w:rPr>
            </w:pPr>
            <w:r>
              <w:rPr>
                <w:rFonts w:ascii="Arial" w:hAnsi="Arial" w:cs="Arial"/>
                <w:b w:val="0"/>
                <w:bCs/>
                <w:sz w:val="22"/>
                <w:szCs w:val="22"/>
              </w:rPr>
              <w:t xml:space="preserve">Removal of ‘Abatement’ </w:t>
            </w:r>
          </w:p>
          <w:p w14:paraId="56338DD5" w14:textId="77777777" w:rsidR="000817E3" w:rsidRDefault="000817E3" w:rsidP="003E2C80">
            <w:pPr>
              <w:pStyle w:val="SubHead"/>
              <w:rPr>
                <w:rFonts w:ascii="Arial" w:hAnsi="Arial" w:cs="Arial"/>
                <w:b w:val="0"/>
                <w:bCs/>
                <w:sz w:val="22"/>
                <w:szCs w:val="22"/>
              </w:rPr>
            </w:pPr>
            <w:r>
              <w:rPr>
                <w:rFonts w:ascii="Arial" w:hAnsi="Arial" w:cs="Arial"/>
                <w:b w:val="0"/>
                <w:bCs/>
                <w:sz w:val="22"/>
                <w:szCs w:val="22"/>
              </w:rPr>
              <w:t>Clarifying ‘rule of 85’</w:t>
            </w:r>
          </w:p>
          <w:p w14:paraId="75D3E215" w14:textId="238F9428" w:rsidR="000817E3" w:rsidRDefault="000817E3" w:rsidP="003E2C80">
            <w:pPr>
              <w:pStyle w:val="SubHead"/>
              <w:rPr>
                <w:rFonts w:ascii="Arial" w:hAnsi="Arial" w:cs="Arial"/>
                <w:b w:val="0"/>
                <w:bCs/>
                <w:sz w:val="22"/>
                <w:szCs w:val="22"/>
              </w:rPr>
            </w:pPr>
            <w:r>
              <w:rPr>
                <w:rFonts w:ascii="Arial" w:hAnsi="Arial" w:cs="Arial"/>
                <w:b w:val="0"/>
                <w:bCs/>
                <w:sz w:val="22"/>
                <w:szCs w:val="22"/>
              </w:rPr>
              <w:t xml:space="preserve"> </w:t>
            </w:r>
          </w:p>
        </w:tc>
        <w:tc>
          <w:tcPr>
            <w:tcW w:w="2687" w:type="dxa"/>
          </w:tcPr>
          <w:p w14:paraId="5C952A77" w14:textId="223CA817" w:rsidR="000817E3" w:rsidRDefault="00AC03B3" w:rsidP="003E2C80">
            <w:pPr>
              <w:pStyle w:val="SubHead"/>
              <w:rPr>
                <w:rFonts w:ascii="Arial" w:hAnsi="Arial" w:cs="Arial"/>
                <w:b w:val="0"/>
                <w:bCs/>
                <w:sz w:val="22"/>
                <w:szCs w:val="22"/>
              </w:rPr>
            </w:pPr>
            <w:r>
              <w:rPr>
                <w:rFonts w:ascii="Arial" w:hAnsi="Arial" w:cs="Arial"/>
                <w:b w:val="0"/>
                <w:bCs/>
                <w:sz w:val="22"/>
                <w:szCs w:val="22"/>
              </w:rPr>
              <w:t>People Management</w:t>
            </w:r>
          </w:p>
        </w:tc>
      </w:tr>
    </w:tbl>
    <w:p w14:paraId="0EFDCBA3" w14:textId="77777777" w:rsidR="00054BD6" w:rsidRDefault="00054BD6" w:rsidP="003E2C80">
      <w:pPr>
        <w:pStyle w:val="SubHead"/>
        <w:rPr>
          <w:rFonts w:ascii="Arial Black" w:hAnsi="Arial Black" w:cs="Arial"/>
          <w:b w:val="0"/>
          <w:bCs/>
          <w:color w:val="31849B"/>
          <w:szCs w:val="28"/>
        </w:rPr>
      </w:pPr>
    </w:p>
    <w:p w14:paraId="3979E22A" w14:textId="77777777"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Scope</w:t>
      </w:r>
    </w:p>
    <w:p w14:paraId="13E636B5" w14:textId="77777777" w:rsidR="009D15EA" w:rsidRDefault="009D15EA" w:rsidP="000C7553">
      <w:pPr>
        <w:pStyle w:val="SubHead"/>
        <w:rPr>
          <w:rFonts w:ascii="Arial" w:hAnsi="Arial" w:cs="Arial"/>
          <w:b w:val="0"/>
          <w:bCs/>
          <w:sz w:val="24"/>
          <w:szCs w:val="28"/>
        </w:rPr>
      </w:pPr>
    </w:p>
    <w:p w14:paraId="01CD823E" w14:textId="77777777" w:rsidR="009D15EA" w:rsidRPr="009D15EA" w:rsidRDefault="00543E04" w:rsidP="000C7553">
      <w:pPr>
        <w:pStyle w:val="SubHead"/>
        <w:rPr>
          <w:rFonts w:ascii="Arial" w:hAnsi="Arial" w:cs="Arial"/>
          <w:b w:val="0"/>
          <w:bCs/>
          <w:sz w:val="24"/>
          <w:szCs w:val="28"/>
        </w:rPr>
      </w:pPr>
      <w:r>
        <w:rPr>
          <w:rFonts w:ascii="Arial" w:hAnsi="Arial" w:cs="Arial"/>
          <w:b w:val="0"/>
          <w:bCs/>
          <w:sz w:val="24"/>
          <w:szCs w:val="28"/>
        </w:rPr>
        <w:t>This policy</w:t>
      </w:r>
      <w:r w:rsidR="009D15EA" w:rsidRPr="009D15EA">
        <w:rPr>
          <w:rFonts w:ascii="Arial" w:hAnsi="Arial" w:cs="Arial"/>
          <w:b w:val="0"/>
          <w:bCs/>
          <w:sz w:val="24"/>
          <w:szCs w:val="28"/>
        </w:rPr>
        <w:t xml:space="preserve"> applies to all employees covered by the NJC for local government employees and all other employees of the County Council for whom there is no other specific procedure laid down in national or local conditions of service, or where contractual conditions specify this procedure.</w:t>
      </w:r>
    </w:p>
    <w:p w14:paraId="440A38C0" w14:textId="77777777" w:rsidR="009D15EA" w:rsidRPr="009D15EA" w:rsidRDefault="009D15EA" w:rsidP="000C7553">
      <w:pPr>
        <w:pStyle w:val="SubHead"/>
        <w:rPr>
          <w:rFonts w:ascii="Arial" w:hAnsi="Arial" w:cs="Arial"/>
          <w:b w:val="0"/>
          <w:bCs/>
          <w:sz w:val="24"/>
          <w:szCs w:val="28"/>
        </w:rPr>
      </w:pPr>
    </w:p>
    <w:p w14:paraId="572FE861" w14:textId="77777777" w:rsidR="009D15EA" w:rsidRPr="009D15EA" w:rsidRDefault="009D15EA" w:rsidP="000C7553">
      <w:pPr>
        <w:pStyle w:val="SubHead"/>
        <w:rPr>
          <w:rFonts w:ascii="Arial" w:hAnsi="Arial" w:cs="Arial"/>
          <w:b w:val="0"/>
          <w:bCs/>
          <w:sz w:val="24"/>
          <w:szCs w:val="28"/>
        </w:rPr>
      </w:pPr>
      <w:r w:rsidRPr="009D15EA">
        <w:rPr>
          <w:rFonts w:ascii="Arial" w:hAnsi="Arial" w:cs="Arial"/>
          <w:b w:val="0"/>
          <w:bCs/>
          <w:sz w:val="24"/>
          <w:szCs w:val="28"/>
        </w:rPr>
        <w:t>It covers employees aged 55 or over and who are active members of the Local Government Pension Scheme (LGPS) and have 3 or more months’ pensionable service.</w:t>
      </w:r>
    </w:p>
    <w:p w14:paraId="63F2BEC8" w14:textId="77777777" w:rsidR="009D15EA" w:rsidRPr="009D15EA" w:rsidRDefault="009D15EA" w:rsidP="000C7553">
      <w:pPr>
        <w:pStyle w:val="SubHead"/>
        <w:rPr>
          <w:rFonts w:ascii="Arial" w:hAnsi="Arial" w:cs="Arial"/>
          <w:b w:val="0"/>
          <w:bCs/>
          <w:sz w:val="24"/>
          <w:szCs w:val="28"/>
        </w:rPr>
      </w:pPr>
    </w:p>
    <w:p w14:paraId="728DEDEC" w14:textId="77777777" w:rsidR="00395C96" w:rsidRPr="009D15EA" w:rsidRDefault="009D15EA" w:rsidP="000C7553">
      <w:pPr>
        <w:pStyle w:val="SubHead"/>
        <w:rPr>
          <w:rFonts w:ascii="Arial" w:hAnsi="Arial" w:cs="Arial"/>
          <w:b w:val="0"/>
          <w:bCs/>
          <w:sz w:val="24"/>
          <w:szCs w:val="28"/>
        </w:rPr>
      </w:pPr>
      <w:r w:rsidRPr="009D15EA">
        <w:rPr>
          <w:rFonts w:ascii="Arial" w:hAnsi="Arial" w:cs="Arial"/>
          <w:b w:val="0"/>
          <w:bCs/>
          <w:sz w:val="24"/>
          <w:szCs w:val="28"/>
        </w:rPr>
        <w:t>Employees who are not members of the Local Government Pension Scheme and who wish to reduce their hours / grade in the approach to retirement, may make an application under this policy (without payment of LGPS pension benefits) if they are aged 55 or over and have 3 or more months’ service with the Council.</w:t>
      </w:r>
    </w:p>
    <w:p w14:paraId="49ED6CD2" w14:textId="77777777" w:rsidR="00395C96" w:rsidRPr="00054BD6" w:rsidRDefault="00395C96" w:rsidP="000C7553">
      <w:pPr>
        <w:pStyle w:val="SubHead"/>
        <w:rPr>
          <w:rFonts w:ascii="Arial" w:hAnsi="Arial" w:cs="Arial"/>
          <w:b w:val="0"/>
          <w:bCs/>
          <w:color w:val="31849B"/>
          <w:sz w:val="24"/>
          <w:szCs w:val="24"/>
        </w:rPr>
      </w:pPr>
    </w:p>
    <w:p w14:paraId="34749852" w14:textId="77777777"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Purpose</w:t>
      </w:r>
    </w:p>
    <w:p w14:paraId="78044812" w14:textId="77777777" w:rsidR="009D15EA" w:rsidRDefault="009D15EA" w:rsidP="000C7553">
      <w:pPr>
        <w:pStyle w:val="SubHead"/>
        <w:rPr>
          <w:rFonts w:ascii="Arial" w:hAnsi="Arial" w:cs="Arial"/>
          <w:b w:val="0"/>
          <w:bCs/>
          <w:sz w:val="24"/>
          <w:szCs w:val="24"/>
        </w:rPr>
      </w:pPr>
    </w:p>
    <w:p w14:paraId="574DC2EA" w14:textId="77777777" w:rsidR="00395C96" w:rsidRPr="009D15EA" w:rsidRDefault="00DB5C93" w:rsidP="000C7553">
      <w:pPr>
        <w:pStyle w:val="SubHead"/>
        <w:rPr>
          <w:rFonts w:ascii="Arial" w:hAnsi="Arial" w:cs="Arial"/>
          <w:b w:val="0"/>
          <w:bCs/>
          <w:sz w:val="24"/>
          <w:szCs w:val="24"/>
        </w:rPr>
      </w:pPr>
      <w:r>
        <w:rPr>
          <w:rFonts w:ascii="Arial" w:hAnsi="Arial" w:cs="Arial"/>
          <w:b w:val="0"/>
          <w:bCs/>
          <w:sz w:val="24"/>
          <w:szCs w:val="24"/>
        </w:rPr>
        <w:t>This policy</w:t>
      </w:r>
      <w:r w:rsidR="009D15EA" w:rsidRPr="009D15EA">
        <w:rPr>
          <w:rFonts w:ascii="Arial" w:hAnsi="Arial" w:cs="Arial"/>
          <w:b w:val="0"/>
          <w:bCs/>
          <w:sz w:val="24"/>
          <w:szCs w:val="24"/>
        </w:rPr>
        <w:t xml:space="preserve"> is intended to enable employees to strike the right balance between working and their personal life when preparing for the change between working full-time and ceasing to work due to retirement.  It is also intended to enable the Council to retain the skills and knowledge of employees who are considering retirement and support its People Strategy.  </w:t>
      </w:r>
    </w:p>
    <w:p w14:paraId="5D3B65E5" w14:textId="77777777" w:rsidR="00566241" w:rsidRDefault="00566241" w:rsidP="00395C96">
      <w:pPr>
        <w:pStyle w:val="SubHead"/>
        <w:rPr>
          <w:rFonts w:ascii="Arial" w:hAnsi="Arial" w:cs="Arial"/>
          <w:b w:val="0"/>
          <w:bCs/>
          <w:sz w:val="24"/>
          <w:szCs w:val="24"/>
        </w:rPr>
      </w:pPr>
    </w:p>
    <w:p w14:paraId="3CCC5995" w14:textId="77777777" w:rsidR="005F68F0" w:rsidRDefault="005F68F0" w:rsidP="000C7553">
      <w:pPr>
        <w:pStyle w:val="SubHead"/>
        <w:rPr>
          <w:rFonts w:ascii="Arial Black" w:hAnsi="Arial Black" w:cs="Arial"/>
          <w:b w:val="0"/>
          <w:bCs/>
          <w:color w:val="31849B"/>
          <w:szCs w:val="28"/>
        </w:rPr>
      </w:pPr>
    </w:p>
    <w:p w14:paraId="4AC0E8B1" w14:textId="0CFF64D8"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Principles</w:t>
      </w:r>
    </w:p>
    <w:p w14:paraId="65ABBAB8" w14:textId="77777777" w:rsidR="00395C96" w:rsidRPr="00054BD6" w:rsidRDefault="00395C96" w:rsidP="00395C96">
      <w:pPr>
        <w:pStyle w:val="SubHead"/>
        <w:rPr>
          <w:rFonts w:ascii="Arial" w:hAnsi="Arial" w:cs="Arial"/>
          <w:b w:val="0"/>
          <w:bCs/>
          <w:color w:val="31849B"/>
          <w:sz w:val="24"/>
          <w:szCs w:val="24"/>
        </w:rPr>
      </w:pPr>
    </w:p>
    <w:p w14:paraId="08271EAE"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Flexible Retirement may only be approved where it is of benefit to service provision delivery or is of sound economic benefit to the Council</w:t>
      </w:r>
    </w:p>
    <w:p w14:paraId="5FD0BA06" w14:textId="77777777" w:rsidR="009D15EA" w:rsidRPr="009D15EA" w:rsidRDefault="009D15EA" w:rsidP="000C7553">
      <w:pPr>
        <w:pStyle w:val="SubHead"/>
        <w:rPr>
          <w:rFonts w:ascii="Arial" w:hAnsi="Arial" w:cs="Arial"/>
          <w:b w:val="0"/>
          <w:bCs/>
          <w:sz w:val="24"/>
          <w:szCs w:val="24"/>
        </w:rPr>
      </w:pPr>
      <w:r>
        <w:rPr>
          <w:rFonts w:ascii="Arial" w:hAnsi="Arial" w:cs="Arial"/>
          <w:b w:val="0"/>
          <w:bCs/>
          <w:sz w:val="24"/>
          <w:szCs w:val="24"/>
        </w:rPr>
        <w:tab/>
      </w:r>
    </w:p>
    <w:p w14:paraId="657D5696"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To be considered for flexible retirement (and payment of LGPS pension benefits) an employee must:</w:t>
      </w:r>
    </w:p>
    <w:p w14:paraId="146FB39A" w14:textId="77777777" w:rsidR="002C0E85" w:rsidRPr="00054BD6" w:rsidRDefault="009D15EA" w:rsidP="00FC5E43">
      <w:pPr>
        <w:pStyle w:val="SubHead"/>
        <w:numPr>
          <w:ilvl w:val="0"/>
          <w:numId w:val="15"/>
        </w:numPr>
        <w:ind w:left="709" w:hanging="709"/>
        <w:rPr>
          <w:rFonts w:ascii="Arial" w:hAnsi="Arial" w:cs="Arial"/>
          <w:b w:val="0"/>
          <w:bCs/>
          <w:sz w:val="24"/>
          <w:szCs w:val="24"/>
        </w:rPr>
      </w:pPr>
      <w:r w:rsidRPr="009D15EA">
        <w:rPr>
          <w:rFonts w:ascii="Arial" w:hAnsi="Arial" w:cs="Arial"/>
          <w:b w:val="0"/>
          <w:bCs/>
          <w:sz w:val="24"/>
          <w:szCs w:val="24"/>
        </w:rPr>
        <w:t>be aged between 55 and 74 (74 is the maximum age for admission to the LGPS</w:t>
      </w:r>
      <w:proofErr w:type="gramStart"/>
      <w:r w:rsidRPr="009D15EA">
        <w:rPr>
          <w:rFonts w:ascii="Arial" w:hAnsi="Arial" w:cs="Arial"/>
          <w:b w:val="0"/>
          <w:bCs/>
          <w:sz w:val="24"/>
          <w:szCs w:val="24"/>
        </w:rPr>
        <w:t>);</w:t>
      </w:r>
      <w:proofErr w:type="gramEnd"/>
      <w:r w:rsidRPr="009D15EA">
        <w:rPr>
          <w:rFonts w:ascii="Arial" w:hAnsi="Arial" w:cs="Arial"/>
          <w:b w:val="0"/>
          <w:bCs/>
          <w:sz w:val="24"/>
          <w:szCs w:val="24"/>
        </w:rPr>
        <w:t xml:space="preserve"> </w:t>
      </w:r>
    </w:p>
    <w:p w14:paraId="1C49DF22" w14:textId="77777777" w:rsidR="002C0E85" w:rsidRPr="00054BD6" w:rsidRDefault="009D15EA" w:rsidP="00FC5E43">
      <w:pPr>
        <w:pStyle w:val="SubHead"/>
        <w:numPr>
          <w:ilvl w:val="0"/>
          <w:numId w:val="15"/>
        </w:numPr>
        <w:ind w:left="709" w:hanging="709"/>
        <w:rPr>
          <w:rFonts w:ascii="Arial" w:hAnsi="Arial" w:cs="Arial"/>
          <w:b w:val="0"/>
          <w:bCs/>
          <w:sz w:val="24"/>
          <w:szCs w:val="24"/>
        </w:rPr>
      </w:pPr>
      <w:r w:rsidRPr="009D15EA">
        <w:rPr>
          <w:rFonts w:ascii="Arial" w:hAnsi="Arial" w:cs="Arial"/>
          <w:b w:val="0"/>
          <w:bCs/>
          <w:sz w:val="24"/>
          <w:szCs w:val="24"/>
        </w:rPr>
        <w:t>have 3 or more months’ membership of the LGPS, or have transferred pension rights into the LGPS; and</w:t>
      </w:r>
    </w:p>
    <w:p w14:paraId="5901DA11" w14:textId="77777777" w:rsidR="00FC5E43" w:rsidRPr="00054BD6" w:rsidRDefault="009D15EA" w:rsidP="00FC5E43">
      <w:pPr>
        <w:pStyle w:val="SubHead"/>
        <w:numPr>
          <w:ilvl w:val="0"/>
          <w:numId w:val="14"/>
        </w:numPr>
        <w:ind w:left="709" w:hanging="709"/>
        <w:rPr>
          <w:rFonts w:ascii="Arial" w:hAnsi="Arial" w:cs="Arial"/>
          <w:b w:val="0"/>
          <w:bCs/>
          <w:sz w:val="24"/>
          <w:szCs w:val="24"/>
        </w:rPr>
      </w:pPr>
      <w:r w:rsidRPr="009D15EA">
        <w:rPr>
          <w:rFonts w:ascii="Arial" w:hAnsi="Arial" w:cs="Arial"/>
          <w:b w:val="0"/>
          <w:bCs/>
          <w:sz w:val="24"/>
          <w:szCs w:val="24"/>
        </w:rPr>
        <w:t>reduce the hours of their current job by at least 20 per cent or transfer to another available job which has either at least 20 per cent fewer hours or is at a lower grade</w:t>
      </w:r>
      <w:r w:rsidR="006F3CFF">
        <w:rPr>
          <w:rFonts w:ascii="Arial" w:hAnsi="Arial" w:cs="Arial"/>
          <w:b w:val="0"/>
          <w:bCs/>
          <w:sz w:val="24"/>
          <w:szCs w:val="24"/>
        </w:rPr>
        <w:t xml:space="preserve"> </w:t>
      </w:r>
    </w:p>
    <w:p w14:paraId="3717994A" w14:textId="77777777" w:rsidR="006F3CFF" w:rsidRPr="00FC5E43" w:rsidRDefault="006F3CFF" w:rsidP="00FC5E43">
      <w:pPr>
        <w:pStyle w:val="SubHead"/>
        <w:numPr>
          <w:ilvl w:val="0"/>
          <w:numId w:val="14"/>
        </w:numPr>
        <w:ind w:left="709" w:hanging="709"/>
        <w:rPr>
          <w:rFonts w:ascii="Arial" w:hAnsi="Arial" w:cs="Arial"/>
          <w:b w:val="0"/>
          <w:bCs/>
          <w:sz w:val="24"/>
          <w:szCs w:val="24"/>
        </w:rPr>
      </w:pPr>
      <w:r w:rsidRPr="00FC5E43">
        <w:rPr>
          <w:rFonts w:ascii="Arial" w:hAnsi="Arial" w:cs="Arial"/>
          <w:b w:val="0"/>
          <w:bCs/>
          <w:sz w:val="24"/>
          <w:szCs w:val="24"/>
        </w:rPr>
        <w:t>for employees with two or more post</w:t>
      </w:r>
      <w:r w:rsidR="00FC5E43">
        <w:rPr>
          <w:rFonts w:ascii="Arial" w:hAnsi="Arial" w:cs="Arial"/>
          <w:b w:val="0"/>
          <w:bCs/>
          <w:sz w:val="24"/>
          <w:szCs w:val="24"/>
        </w:rPr>
        <w:t>,</w:t>
      </w:r>
      <w:r w:rsidRPr="00FC5E43">
        <w:rPr>
          <w:rFonts w:ascii="Arial" w:hAnsi="Arial" w:cs="Arial"/>
          <w:b w:val="0"/>
          <w:bCs/>
          <w:sz w:val="24"/>
          <w:szCs w:val="24"/>
        </w:rPr>
        <w:t xml:space="preserve"> each post stands alone. </w:t>
      </w:r>
      <w:proofErr w:type="gramStart"/>
      <w:r w:rsidRPr="00FC5E43">
        <w:rPr>
          <w:rFonts w:ascii="Arial" w:hAnsi="Arial" w:cs="Arial"/>
          <w:b w:val="0"/>
          <w:bCs/>
          <w:sz w:val="24"/>
          <w:szCs w:val="24"/>
        </w:rPr>
        <w:t>Therefore</w:t>
      </w:r>
      <w:proofErr w:type="gramEnd"/>
      <w:r w:rsidRPr="00FC5E43">
        <w:rPr>
          <w:rFonts w:ascii="Arial" w:hAnsi="Arial" w:cs="Arial"/>
          <w:b w:val="0"/>
          <w:bCs/>
          <w:sz w:val="24"/>
          <w:szCs w:val="24"/>
        </w:rPr>
        <w:t xml:space="preserve"> the reduction in hours must come from either one post or from both. It is not possible to make the reduction by </w:t>
      </w:r>
      <w:r w:rsidR="00FC5E43">
        <w:rPr>
          <w:rFonts w:ascii="Arial" w:hAnsi="Arial" w:cs="Arial"/>
          <w:b w:val="0"/>
          <w:bCs/>
          <w:sz w:val="24"/>
          <w:szCs w:val="24"/>
        </w:rPr>
        <w:t>stopping only one of the posts completely</w:t>
      </w:r>
      <w:r w:rsidRPr="00FC5E43">
        <w:rPr>
          <w:rFonts w:ascii="Arial" w:hAnsi="Arial" w:cs="Arial"/>
          <w:b w:val="0"/>
          <w:bCs/>
          <w:sz w:val="24"/>
          <w:szCs w:val="24"/>
        </w:rPr>
        <w:t>.</w:t>
      </w:r>
    </w:p>
    <w:p w14:paraId="1F6080EE" w14:textId="77777777" w:rsidR="006F3CFF" w:rsidRDefault="006F3CFF" w:rsidP="006F3CFF">
      <w:pPr>
        <w:pStyle w:val="SubHead"/>
        <w:ind w:left="709" w:hanging="709"/>
        <w:rPr>
          <w:rFonts w:ascii="Arial" w:hAnsi="Arial" w:cs="Arial"/>
          <w:b w:val="0"/>
          <w:bCs/>
          <w:sz w:val="24"/>
          <w:szCs w:val="24"/>
        </w:rPr>
      </w:pPr>
    </w:p>
    <w:p w14:paraId="543EE428" w14:textId="77777777" w:rsidR="002C0E85" w:rsidRPr="009D15EA" w:rsidRDefault="009D15EA" w:rsidP="00566241">
      <w:pPr>
        <w:pStyle w:val="SubHead"/>
        <w:ind w:left="709" w:hanging="709"/>
        <w:rPr>
          <w:rFonts w:ascii="Arial" w:hAnsi="Arial" w:cs="Arial"/>
          <w:b w:val="0"/>
          <w:bCs/>
          <w:sz w:val="24"/>
          <w:szCs w:val="24"/>
        </w:rPr>
      </w:pPr>
      <w:r w:rsidRPr="009D15EA">
        <w:rPr>
          <w:rFonts w:ascii="Arial" w:hAnsi="Arial" w:cs="Arial"/>
          <w:b w:val="0"/>
          <w:bCs/>
          <w:sz w:val="24"/>
          <w:szCs w:val="24"/>
        </w:rPr>
        <w:t>LGPS regulations specify that an employee can only take flexible retirement if the Council gives its consent to:</w:t>
      </w:r>
    </w:p>
    <w:p w14:paraId="0BC3A721" w14:textId="77777777" w:rsidR="002C0E85"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a reduction in the employee’s hours and / or grade, and</w:t>
      </w:r>
    </w:p>
    <w:p w14:paraId="6BEF533C"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release of their accrued pension benefits</w:t>
      </w:r>
    </w:p>
    <w:p w14:paraId="5759121E" w14:textId="77777777" w:rsidR="009D15EA" w:rsidRPr="009D15EA" w:rsidRDefault="009D15EA" w:rsidP="000C7553">
      <w:pPr>
        <w:pStyle w:val="SubHead"/>
        <w:rPr>
          <w:rFonts w:ascii="Arial" w:hAnsi="Arial" w:cs="Arial"/>
          <w:b w:val="0"/>
          <w:bCs/>
          <w:sz w:val="24"/>
          <w:szCs w:val="24"/>
        </w:rPr>
      </w:pPr>
    </w:p>
    <w:p w14:paraId="0F18E357"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Once flexible retirement is granted, an employee cannot apply for a future position that may result in either an increase in hours or a higher grade.</w:t>
      </w:r>
    </w:p>
    <w:p w14:paraId="48D63D4C" w14:textId="77777777" w:rsidR="009D15EA" w:rsidRPr="009D15EA" w:rsidRDefault="009D15EA" w:rsidP="000C7553">
      <w:pPr>
        <w:pStyle w:val="SubHead"/>
        <w:rPr>
          <w:rFonts w:ascii="Arial" w:hAnsi="Arial" w:cs="Arial"/>
          <w:b w:val="0"/>
          <w:bCs/>
          <w:sz w:val="24"/>
          <w:szCs w:val="24"/>
        </w:rPr>
      </w:pPr>
    </w:p>
    <w:p w14:paraId="5DFA6B64"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 xml:space="preserve">Flexible retirement is an opportunity for an employee to continue working for the Council on reduced hours of work or at a lower grade, while drawing their accrued benefits. They may be eligible to continue paying into the pension scheme for their new position, and build up further retirement benefits, should they wish to do so. Employees who wish to </w:t>
      </w:r>
      <w:r w:rsidR="00E52080" w:rsidRPr="009D15EA">
        <w:rPr>
          <w:rFonts w:ascii="Arial" w:hAnsi="Arial" w:cs="Arial"/>
          <w:b w:val="0"/>
          <w:bCs/>
          <w:sz w:val="24"/>
          <w:szCs w:val="24"/>
        </w:rPr>
        <w:t>re-join</w:t>
      </w:r>
      <w:r w:rsidRPr="009D15EA">
        <w:rPr>
          <w:rFonts w:ascii="Arial" w:hAnsi="Arial" w:cs="Arial"/>
          <w:b w:val="0"/>
          <w:bCs/>
          <w:sz w:val="24"/>
          <w:szCs w:val="24"/>
        </w:rPr>
        <w:t xml:space="preserve"> the Pension Scheme should notify the Service Centre in writing. </w:t>
      </w:r>
    </w:p>
    <w:p w14:paraId="6AF6D2E9" w14:textId="77777777" w:rsidR="009D15EA" w:rsidRPr="009D15EA" w:rsidRDefault="009D15EA" w:rsidP="000C7553">
      <w:pPr>
        <w:pStyle w:val="SubHead"/>
        <w:rPr>
          <w:rFonts w:ascii="Arial" w:hAnsi="Arial" w:cs="Arial"/>
          <w:b w:val="0"/>
          <w:bCs/>
          <w:sz w:val="24"/>
          <w:szCs w:val="24"/>
        </w:rPr>
      </w:pPr>
    </w:p>
    <w:p w14:paraId="1A0630F4" w14:textId="520AD418"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Employees taking flexible retirement before the</w:t>
      </w:r>
      <w:r w:rsidR="000F5CAF">
        <w:rPr>
          <w:rFonts w:ascii="Arial" w:hAnsi="Arial" w:cs="Arial"/>
          <w:b w:val="0"/>
          <w:bCs/>
          <w:sz w:val="24"/>
          <w:szCs w:val="24"/>
        </w:rPr>
        <w:t>ir normal pension</w:t>
      </w:r>
      <w:r w:rsidRPr="009D15EA">
        <w:rPr>
          <w:rFonts w:ascii="Arial" w:hAnsi="Arial" w:cs="Arial"/>
          <w:b w:val="0"/>
          <w:bCs/>
          <w:sz w:val="24"/>
          <w:szCs w:val="24"/>
        </w:rPr>
        <w:t xml:space="preserve"> age </w:t>
      </w:r>
      <w:r w:rsidR="000F5CAF" w:rsidRPr="009D15EA">
        <w:rPr>
          <w:rFonts w:ascii="Arial" w:hAnsi="Arial" w:cs="Arial"/>
          <w:b w:val="0"/>
          <w:bCs/>
          <w:sz w:val="24"/>
          <w:szCs w:val="24"/>
        </w:rPr>
        <w:t xml:space="preserve">will have a reduction in their pension </w:t>
      </w:r>
      <w:proofErr w:type="gramStart"/>
      <w:r w:rsidR="000F5CAF" w:rsidRPr="009D15EA">
        <w:rPr>
          <w:rFonts w:ascii="Arial" w:hAnsi="Arial" w:cs="Arial"/>
          <w:b w:val="0"/>
          <w:bCs/>
          <w:sz w:val="24"/>
          <w:szCs w:val="24"/>
        </w:rPr>
        <w:t xml:space="preserve">benefits </w:t>
      </w:r>
      <w:r w:rsidR="000F5CAF">
        <w:rPr>
          <w:rFonts w:ascii="Arial" w:hAnsi="Arial" w:cs="Arial"/>
          <w:b w:val="0"/>
          <w:bCs/>
          <w:sz w:val="24"/>
          <w:szCs w:val="24"/>
        </w:rPr>
        <w:t>.</w:t>
      </w:r>
      <w:proofErr w:type="gramEnd"/>
      <w:r w:rsidR="000F5CAF">
        <w:rPr>
          <w:rFonts w:ascii="Arial" w:hAnsi="Arial" w:cs="Arial"/>
          <w:b w:val="0"/>
          <w:bCs/>
          <w:sz w:val="24"/>
          <w:szCs w:val="24"/>
        </w:rPr>
        <w:t xml:space="preserve"> Some pre 2008 pension protections </w:t>
      </w:r>
      <w:r w:rsidR="000F5CAF" w:rsidRPr="000F5CAF">
        <w:rPr>
          <w:rFonts w:ascii="Arial" w:hAnsi="Arial" w:cs="Arial"/>
          <w:b w:val="0"/>
          <w:bCs/>
          <w:sz w:val="24"/>
          <w:szCs w:val="24"/>
          <w:u w:val="single"/>
        </w:rPr>
        <w:t>may</w:t>
      </w:r>
      <w:r w:rsidR="000F5CAF">
        <w:rPr>
          <w:rFonts w:ascii="Arial" w:hAnsi="Arial" w:cs="Arial"/>
          <w:b w:val="0"/>
          <w:bCs/>
          <w:sz w:val="24"/>
          <w:szCs w:val="24"/>
        </w:rPr>
        <w:t xml:space="preserve"> apply </w:t>
      </w:r>
      <w:proofErr w:type="gramStart"/>
      <w:r w:rsidR="000F5CAF">
        <w:rPr>
          <w:rFonts w:ascii="Arial" w:hAnsi="Arial" w:cs="Arial"/>
          <w:b w:val="0"/>
          <w:bCs/>
          <w:sz w:val="24"/>
          <w:szCs w:val="24"/>
        </w:rPr>
        <w:t>i.e.</w:t>
      </w:r>
      <w:proofErr w:type="gramEnd"/>
      <w:r w:rsidR="000F5CAF">
        <w:rPr>
          <w:rFonts w:ascii="Arial" w:hAnsi="Arial" w:cs="Arial"/>
          <w:b w:val="0"/>
          <w:bCs/>
          <w:sz w:val="24"/>
          <w:szCs w:val="24"/>
        </w:rPr>
        <w:t xml:space="preserve"> the ‘rule </w:t>
      </w:r>
      <w:r w:rsidRPr="009D15EA">
        <w:rPr>
          <w:rFonts w:ascii="Arial" w:hAnsi="Arial" w:cs="Arial"/>
          <w:b w:val="0"/>
          <w:bCs/>
          <w:sz w:val="24"/>
          <w:szCs w:val="24"/>
        </w:rPr>
        <w:t xml:space="preserve">of </w:t>
      </w:r>
      <w:r w:rsidR="000F5CAF">
        <w:rPr>
          <w:rFonts w:ascii="Arial" w:hAnsi="Arial" w:cs="Arial"/>
          <w:b w:val="0"/>
          <w:bCs/>
          <w:sz w:val="24"/>
          <w:szCs w:val="24"/>
        </w:rPr>
        <w:t>8</w:t>
      </w:r>
      <w:r w:rsidR="000F5CAF" w:rsidRPr="009D15EA">
        <w:rPr>
          <w:rFonts w:ascii="Arial" w:hAnsi="Arial" w:cs="Arial"/>
          <w:b w:val="0"/>
          <w:bCs/>
          <w:sz w:val="24"/>
          <w:szCs w:val="24"/>
        </w:rPr>
        <w:t>5</w:t>
      </w:r>
      <w:r w:rsidR="000F5CAF">
        <w:rPr>
          <w:rFonts w:ascii="Arial" w:hAnsi="Arial" w:cs="Arial"/>
          <w:b w:val="0"/>
          <w:bCs/>
          <w:sz w:val="24"/>
          <w:szCs w:val="24"/>
        </w:rPr>
        <w:t xml:space="preserve">’. Employees will need to check their personal circumstances with LPPA to see if they are covered by the ‘rule of 85’. </w:t>
      </w:r>
    </w:p>
    <w:p w14:paraId="7A90C14D" w14:textId="77777777" w:rsidR="009D15EA" w:rsidRPr="009D15EA" w:rsidRDefault="009D15EA" w:rsidP="000C7553">
      <w:pPr>
        <w:pStyle w:val="SubHead"/>
        <w:rPr>
          <w:rFonts w:ascii="Arial" w:hAnsi="Arial" w:cs="Arial"/>
          <w:b w:val="0"/>
          <w:bCs/>
          <w:sz w:val="24"/>
          <w:szCs w:val="24"/>
        </w:rPr>
      </w:pPr>
    </w:p>
    <w:p w14:paraId="17F79E39" w14:textId="77777777" w:rsidR="00566241" w:rsidRDefault="00566241" w:rsidP="000C7553">
      <w:pPr>
        <w:pStyle w:val="SubHead"/>
        <w:rPr>
          <w:rFonts w:ascii="Arial" w:eastAsiaTheme="minorHAnsi" w:hAnsi="Arial" w:cs="Arial"/>
          <w:sz w:val="24"/>
        </w:rPr>
      </w:pPr>
    </w:p>
    <w:p w14:paraId="117DB7E4" w14:textId="77777777" w:rsidR="009D15EA" w:rsidRPr="00566241" w:rsidRDefault="009D15EA" w:rsidP="000C7553">
      <w:pPr>
        <w:pStyle w:val="SubHead"/>
        <w:rPr>
          <w:rFonts w:ascii="Arial" w:hAnsi="Arial" w:cs="Arial"/>
          <w:bCs/>
          <w:sz w:val="24"/>
          <w:szCs w:val="24"/>
        </w:rPr>
      </w:pPr>
      <w:r w:rsidRPr="009D15EA">
        <w:rPr>
          <w:rFonts w:ascii="Arial" w:hAnsi="Arial" w:cs="Arial"/>
          <w:b w:val="0"/>
          <w:bCs/>
          <w:sz w:val="24"/>
          <w:szCs w:val="24"/>
        </w:rPr>
        <w:t>There cannot be a trial period for flexible retirement, because of the direct impact on pension benefits, business planning and other staff.</w:t>
      </w:r>
    </w:p>
    <w:p w14:paraId="1F046EBC" w14:textId="77777777" w:rsidR="009D15EA" w:rsidRPr="009D15EA" w:rsidRDefault="009D15EA" w:rsidP="000C7553">
      <w:pPr>
        <w:pStyle w:val="SubHead"/>
        <w:rPr>
          <w:rFonts w:ascii="Arial" w:hAnsi="Arial" w:cs="Arial"/>
          <w:b w:val="0"/>
          <w:bCs/>
          <w:sz w:val="24"/>
          <w:szCs w:val="24"/>
        </w:rPr>
      </w:pPr>
    </w:p>
    <w:p w14:paraId="0818F206" w14:textId="77777777" w:rsidR="009D15EA" w:rsidRPr="009D15EA" w:rsidRDefault="009D15EA" w:rsidP="000C7553">
      <w:pPr>
        <w:pStyle w:val="SubHead"/>
        <w:rPr>
          <w:rFonts w:ascii="Arial" w:hAnsi="Arial" w:cs="Arial"/>
          <w:b w:val="0"/>
          <w:bCs/>
          <w:sz w:val="24"/>
          <w:szCs w:val="24"/>
        </w:rPr>
      </w:pPr>
      <w:proofErr w:type="gramStart"/>
      <w:r w:rsidRPr="009D15EA">
        <w:rPr>
          <w:rFonts w:ascii="Arial" w:hAnsi="Arial" w:cs="Arial"/>
          <w:b w:val="0"/>
          <w:bCs/>
          <w:sz w:val="24"/>
          <w:szCs w:val="24"/>
        </w:rPr>
        <w:t>In order to</w:t>
      </w:r>
      <w:proofErr w:type="gramEnd"/>
      <w:r w:rsidRPr="009D15EA">
        <w:rPr>
          <w:rFonts w:ascii="Arial" w:hAnsi="Arial" w:cs="Arial"/>
          <w:b w:val="0"/>
          <w:bCs/>
          <w:sz w:val="24"/>
          <w:szCs w:val="24"/>
        </w:rPr>
        <w:t xml:space="preserve"> ensure fairness and a consistency of approach to employees, decisions on individual requests will be determined jointly by the Corporate Assistant Director and the Assistant Director People Management, acting on behalf of the Council.</w:t>
      </w:r>
    </w:p>
    <w:p w14:paraId="40098DD9" w14:textId="77777777" w:rsidR="009D15EA" w:rsidRPr="009D15EA" w:rsidRDefault="009D15EA" w:rsidP="009D15EA">
      <w:pPr>
        <w:pStyle w:val="SubHead"/>
        <w:ind w:left="426"/>
        <w:rPr>
          <w:rFonts w:ascii="Arial" w:hAnsi="Arial" w:cs="Arial"/>
          <w:b w:val="0"/>
          <w:bCs/>
          <w:sz w:val="24"/>
          <w:szCs w:val="24"/>
        </w:rPr>
      </w:pPr>
    </w:p>
    <w:p w14:paraId="4993841D" w14:textId="77777777" w:rsid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In considering the employee’s request they will need to consider the following:</w:t>
      </w:r>
    </w:p>
    <w:p w14:paraId="3B4034E9" w14:textId="77777777" w:rsidR="002C0E85" w:rsidRPr="009D15EA" w:rsidRDefault="002C0E85" w:rsidP="000C7553">
      <w:pPr>
        <w:pStyle w:val="SubHead"/>
        <w:ind w:left="567" w:hanging="567"/>
        <w:rPr>
          <w:rFonts w:ascii="Arial" w:hAnsi="Arial" w:cs="Arial"/>
          <w:b w:val="0"/>
          <w:bCs/>
          <w:sz w:val="24"/>
          <w:szCs w:val="24"/>
        </w:rPr>
      </w:pPr>
    </w:p>
    <w:p w14:paraId="293AA976" w14:textId="77777777" w:rsidR="002C0E85" w:rsidRP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benefits to the service</w:t>
      </w:r>
    </w:p>
    <w:p w14:paraId="4A83CD0A" w14:textId="77777777" w:rsidR="002C0E85" w:rsidRP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effect on the ability to meet customer needs</w:t>
      </w:r>
    </w:p>
    <w:p w14:paraId="3D5DC2D0" w14:textId="77777777" w:rsidR="002C0E85" w:rsidRP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Workload considerations</w:t>
      </w:r>
    </w:p>
    <w:p w14:paraId="510778A8" w14:textId="77777777" w:rsidR="002C0E85" w:rsidRPr="009D15EA" w:rsidRDefault="009D15EA" w:rsidP="00054BD6">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Impact on other staff</w:t>
      </w:r>
    </w:p>
    <w:p w14:paraId="26ACAFBB" w14:textId="77777777" w:rsidR="002C0E85" w:rsidRPr="009D15EA" w:rsidRDefault="009D15EA" w:rsidP="00054BD6">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 xml:space="preserve">Resource implications </w:t>
      </w:r>
      <w:proofErr w:type="gramStart"/>
      <w:r w:rsidR="00566241" w:rsidRPr="009D15EA">
        <w:rPr>
          <w:rFonts w:ascii="Arial" w:hAnsi="Arial" w:cs="Arial"/>
          <w:b w:val="0"/>
          <w:bCs/>
          <w:sz w:val="24"/>
          <w:szCs w:val="24"/>
        </w:rPr>
        <w:t>e.g.</w:t>
      </w:r>
      <w:proofErr w:type="gramEnd"/>
      <w:r w:rsidRPr="009D15EA">
        <w:rPr>
          <w:rFonts w:ascii="Arial" w:hAnsi="Arial" w:cs="Arial"/>
          <w:b w:val="0"/>
          <w:bCs/>
          <w:sz w:val="24"/>
          <w:szCs w:val="24"/>
        </w:rPr>
        <w:t xml:space="preserve"> the capital costs associated with the early release of pension</w:t>
      </w:r>
    </w:p>
    <w:p w14:paraId="49DE6596" w14:textId="77777777" w:rsidR="009D15EA" w:rsidRPr="009D15EA" w:rsidRDefault="009D15EA" w:rsidP="0031455F">
      <w:pPr>
        <w:pStyle w:val="SubHead"/>
        <w:ind w:left="567" w:hanging="567"/>
        <w:rPr>
          <w:rFonts w:ascii="Arial" w:hAnsi="Arial" w:cs="Arial"/>
          <w:b w:val="0"/>
          <w:bCs/>
          <w:sz w:val="24"/>
          <w:szCs w:val="24"/>
        </w:rPr>
      </w:pPr>
      <w:r w:rsidRPr="009D15EA">
        <w:rPr>
          <w:rFonts w:ascii="Arial" w:hAnsi="Arial" w:cs="Arial"/>
          <w:b w:val="0"/>
          <w:bCs/>
          <w:sz w:val="24"/>
          <w:szCs w:val="24"/>
        </w:rPr>
        <w:lastRenderedPageBreak/>
        <w:t>•</w:t>
      </w:r>
      <w:r w:rsidRPr="009D15EA">
        <w:rPr>
          <w:rFonts w:ascii="Arial" w:hAnsi="Arial" w:cs="Arial"/>
          <w:b w:val="0"/>
          <w:bCs/>
          <w:sz w:val="24"/>
          <w:szCs w:val="24"/>
        </w:rPr>
        <w:tab/>
        <w:t>The business case for supporting flexible retirement and a template has been drafted for this purpose (see Appendix E).</w:t>
      </w:r>
    </w:p>
    <w:p w14:paraId="73EBFE5C" w14:textId="77777777" w:rsidR="009D15EA" w:rsidRPr="009D15EA" w:rsidRDefault="009D15EA" w:rsidP="000C7553">
      <w:pPr>
        <w:pStyle w:val="SubHead"/>
        <w:rPr>
          <w:rFonts w:ascii="Arial" w:hAnsi="Arial" w:cs="Arial"/>
          <w:b w:val="0"/>
          <w:bCs/>
          <w:sz w:val="24"/>
          <w:szCs w:val="24"/>
        </w:rPr>
      </w:pPr>
    </w:p>
    <w:p w14:paraId="3F8A0B94" w14:textId="06957BEE"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 xml:space="preserve">It is essential that all employees ensure they receive individual pension details from the Pension </w:t>
      </w:r>
      <w:r w:rsidR="00232165">
        <w:rPr>
          <w:rFonts w:ascii="Arial" w:hAnsi="Arial" w:cs="Arial"/>
          <w:b w:val="0"/>
          <w:bCs/>
          <w:sz w:val="24"/>
          <w:szCs w:val="24"/>
        </w:rPr>
        <w:t xml:space="preserve">Administrator </w:t>
      </w:r>
      <w:r w:rsidRPr="009D15EA">
        <w:rPr>
          <w:rFonts w:ascii="Arial" w:hAnsi="Arial" w:cs="Arial"/>
          <w:b w:val="0"/>
          <w:bCs/>
          <w:sz w:val="24"/>
          <w:szCs w:val="24"/>
        </w:rPr>
        <w:t xml:space="preserve">prior to making their application.  Due to the potential </w:t>
      </w:r>
      <w:r w:rsidR="00E5206A">
        <w:rPr>
          <w:rFonts w:ascii="Arial" w:hAnsi="Arial" w:cs="Arial"/>
          <w:b w:val="0"/>
          <w:bCs/>
          <w:sz w:val="24"/>
          <w:szCs w:val="24"/>
        </w:rPr>
        <w:t xml:space="preserve">implications and </w:t>
      </w:r>
      <w:r w:rsidRPr="009D15EA">
        <w:rPr>
          <w:rFonts w:ascii="Arial" w:hAnsi="Arial" w:cs="Arial"/>
          <w:b w:val="0"/>
          <w:bCs/>
          <w:sz w:val="24"/>
          <w:szCs w:val="24"/>
        </w:rPr>
        <w:t xml:space="preserve">cost to the organisation, individuals should apply for </w:t>
      </w:r>
      <w:r w:rsidR="00232165">
        <w:rPr>
          <w:rFonts w:ascii="Arial" w:hAnsi="Arial" w:cs="Arial"/>
          <w:b w:val="0"/>
          <w:bCs/>
          <w:sz w:val="24"/>
          <w:szCs w:val="24"/>
        </w:rPr>
        <w:t xml:space="preserve">consideration </w:t>
      </w:r>
      <w:r w:rsidRPr="009D15EA">
        <w:rPr>
          <w:rFonts w:ascii="Arial" w:hAnsi="Arial" w:cs="Arial"/>
          <w:b w:val="0"/>
          <w:bCs/>
          <w:sz w:val="24"/>
          <w:szCs w:val="24"/>
        </w:rPr>
        <w:t xml:space="preserve">via their Line Manager. </w:t>
      </w:r>
      <w:r w:rsidR="007079BC">
        <w:rPr>
          <w:rFonts w:ascii="Arial" w:hAnsi="Arial" w:cs="Arial"/>
          <w:b w:val="0"/>
          <w:bCs/>
          <w:sz w:val="24"/>
          <w:szCs w:val="24"/>
        </w:rPr>
        <w:t>In the first instance the employee may obtain pension estimates through their line manager. In these circumstances they are consenting to their manager</w:t>
      </w:r>
      <w:r w:rsidR="000409F3">
        <w:rPr>
          <w:rFonts w:ascii="Arial" w:hAnsi="Arial" w:cs="Arial"/>
          <w:b w:val="0"/>
          <w:bCs/>
          <w:sz w:val="24"/>
          <w:szCs w:val="24"/>
        </w:rPr>
        <w:t>(s)</w:t>
      </w:r>
      <w:r w:rsidR="007079BC">
        <w:rPr>
          <w:rFonts w:ascii="Arial" w:hAnsi="Arial" w:cs="Arial"/>
          <w:b w:val="0"/>
          <w:bCs/>
          <w:sz w:val="24"/>
          <w:szCs w:val="24"/>
        </w:rPr>
        <w:t xml:space="preserve"> (and their advisors) obtaining details of their pension benefits.</w:t>
      </w:r>
    </w:p>
    <w:p w14:paraId="2DEB05DB" w14:textId="77777777" w:rsidR="009D15EA" w:rsidRPr="009D15EA" w:rsidRDefault="009D15EA" w:rsidP="000C7553">
      <w:pPr>
        <w:pStyle w:val="SubHead"/>
        <w:rPr>
          <w:rFonts w:ascii="Arial" w:hAnsi="Arial" w:cs="Arial"/>
          <w:b w:val="0"/>
          <w:bCs/>
          <w:sz w:val="24"/>
          <w:szCs w:val="24"/>
        </w:rPr>
      </w:pPr>
    </w:p>
    <w:p w14:paraId="2C4C7B46"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 xml:space="preserve">Any extension of time limits is to be by agreement of the Line Manager and the individual.  If this cannot be agreed, the request for Flexible Retirement will be considered </w:t>
      </w:r>
      <w:proofErr w:type="gramStart"/>
      <w:r w:rsidRPr="009D15EA">
        <w:rPr>
          <w:rFonts w:ascii="Arial" w:hAnsi="Arial" w:cs="Arial"/>
          <w:b w:val="0"/>
          <w:bCs/>
          <w:sz w:val="24"/>
          <w:szCs w:val="24"/>
        </w:rPr>
        <w:t>on the basis of</w:t>
      </w:r>
      <w:proofErr w:type="gramEnd"/>
      <w:r w:rsidRPr="009D15EA">
        <w:rPr>
          <w:rFonts w:ascii="Arial" w:hAnsi="Arial" w:cs="Arial"/>
          <w:b w:val="0"/>
          <w:bCs/>
          <w:sz w:val="24"/>
          <w:szCs w:val="24"/>
        </w:rPr>
        <w:t xml:space="preserve"> the information available at the time.</w:t>
      </w:r>
    </w:p>
    <w:p w14:paraId="0D2208AB" w14:textId="77777777" w:rsidR="00395C96" w:rsidRPr="00566241" w:rsidRDefault="00395C96" w:rsidP="002C0E85">
      <w:pPr>
        <w:pStyle w:val="SubHead"/>
        <w:ind w:firstLine="709"/>
        <w:rPr>
          <w:rFonts w:ascii="Arial" w:hAnsi="Arial" w:cs="Arial"/>
          <w:b w:val="0"/>
          <w:bCs/>
          <w:color w:val="31849B"/>
          <w:sz w:val="24"/>
          <w:szCs w:val="24"/>
        </w:rPr>
      </w:pPr>
    </w:p>
    <w:p w14:paraId="6DB35299" w14:textId="77777777" w:rsidR="00395C96" w:rsidRDefault="00395C96" w:rsidP="000C7553">
      <w:pPr>
        <w:pStyle w:val="SubHead"/>
        <w:ind w:left="851" w:hanging="851"/>
        <w:rPr>
          <w:rFonts w:ascii="Arial Black" w:hAnsi="Arial Black" w:cs="Arial"/>
          <w:b w:val="0"/>
          <w:bCs/>
          <w:color w:val="31849B"/>
          <w:szCs w:val="28"/>
        </w:rPr>
      </w:pPr>
      <w:r>
        <w:rPr>
          <w:rFonts w:ascii="Arial Black" w:hAnsi="Arial Black" w:cs="Arial"/>
          <w:b w:val="0"/>
          <w:bCs/>
          <w:color w:val="31849B"/>
          <w:szCs w:val="28"/>
        </w:rPr>
        <w:t>Outcomes and Measures</w:t>
      </w:r>
    </w:p>
    <w:p w14:paraId="1374A68E" w14:textId="77777777" w:rsidR="009D15EA" w:rsidRDefault="009D15EA" w:rsidP="009D15EA">
      <w:pPr>
        <w:pStyle w:val="SubHead"/>
        <w:rPr>
          <w:rFonts w:ascii="Arial" w:hAnsi="Arial" w:cs="Arial"/>
          <w:b w:val="0"/>
          <w:bCs/>
          <w:sz w:val="24"/>
          <w:szCs w:val="24"/>
        </w:rPr>
      </w:pPr>
    </w:p>
    <w:p w14:paraId="7D264982" w14:textId="77777777" w:rsidR="009D15EA" w:rsidRDefault="009D15EA" w:rsidP="000C7553">
      <w:pPr>
        <w:pStyle w:val="SubHead"/>
        <w:rPr>
          <w:rFonts w:ascii="Arial" w:hAnsi="Arial" w:cs="Arial"/>
          <w:b w:val="0"/>
          <w:bCs/>
          <w:sz w:val="24"/>
          <w:szCs w:val="24"/>
        </w:rPr>
      </w:pPr>
      <w:r w:rsidRPr="009D15EA">
        <w:rPr>
          <w:rFonts w:ascii="Arial" w:hAnsi="Arial" w:cs="Arial"/>
          <w:b w:val="0"/>
          <w:bCs/>
          <w:sz w:val="24"/>
          <w:szCs w:val="24"/>
        </w:rPr>
        <w:t>The effective application of this policy and its principles will be determined by the following measures.</w:t>
      </w:r>
    </w:p>
    <w:p w14:paraId="40DEFBB5" w14:textId="77777777" w:rsidR="00E52080" w:rsidRPr="009D15EA" w:rsidRDefault="00E52080" w:rsidP="002C0E85">
      <w:pPr>
        <w:pStyle w:val="SubHead"/>
        <w:ind w:left="360"/>
        <w:rPr>
          <w:rFonts w:ascii="Arial" w:hAnsi="Arial" w:cs="Arial"/>
          <w:b w:val="0"/>
          <w:bCs/>
          <w:sz w:val="24"/>
          <w:szCs w:val="24"/>
        </w:rPr>
      </w:pPr>
    </w:p>
    <w:tbl>
      <w:tblPr>
        <w:tblStyle w:val="TableGrid"/>
        <w:tblW w:w="0" w:type="auto"/>
        <w:tblInd w:w="108" w:type="dxa"/>
        <w:tblLook w:val="04A0" w:firstRow="1" w:lastRow="0" w:firstColumn="1" w:lastColumn="0" w:noHBand="0" w:noVBand="1"/>
      </w:tblPr>
      <w:tblGrid>
        <w:gridCol w:w="5043"/>
        <w:gridCol w:w="5043"/>
      </w:tblGrid>
      <w:tr w:rsidR="00566241" w:rsidRPr="00566241" w14:paraId="05C070FA" w14:textId="77777777" w:rsidTr="00566241">
        <w:tc>
          <w:tcPr>
            <w:tcW w:w="5102" w:type="dxa"/>
            <w:shd w:val="clear" w:color="auto" w:fill="0082AA"/>
          </w:tcPr>
          <w:p w14:paraId="456B35C8" w14:textId="77777777" w:rsidR="009D15EA" w:rsidRPr="00566241" w:rsidRDefault="009D15EA" w:rsidP="009D15EA">
            <w:pPr>
              <w:pStyle w:val="SubHead"/>
              <w:jc w:val="center"/>
              <w:rPr>
                <w:rFonts w:ascii="Arial" w:hAnsi="Arial" w:cs="Arial"/>
                <w:bCs/>
                <w:color w:val="FFFFFF" w:themeColor="background1"/>
                <w:sz w:val="24"/>
                <w:szCs w:val="24"/>
              </w:rPr>
            </w:pPr>
            <w:r w:rsidRPr="00566241">
              <w:rPr>
                <w:rFonts w:ascii="Arial" w:hAnsi="Arial" w:cs="Arial"/>
                <w:bCs/>
                <w:color w:val="FFFFFF" w:themeColor="background1"/>
                <w:sz w:val="24"/>
                <w:szCs w:val="24"/>
              </w:rPr>
              <w:t>OUTCOME</w:t>
            </w:r>
          </w:p>
        </w:tc>
        <w:tc>
          <w:tcPr>
            <w:tcW w:w="5104" w:type="dxa"/>
            <w:shd w:val="clear" w:color="auto" w:fill="0082AA"/>
          </w:tcPr>
          <w:p w14:paraId="3CFB0A21" w14:textId="77777777" w:rsidR="009D15EA" w:rsidRPr="00566241" w:rsidRDefault="009D15EA" w:rsidP="009D15EA">
            <w:pPr>
              <w:pStyle w:val="SubHead"/>
              <w:jc w:val="center"/>
              <w:rPr>
                <w:rFonts w:ascii="Arial" w:hAnsi="Arial" w:cs="Arial"/>
                <w:bCs/>
                <w:color w:val="FFFFFF" w:themeColor="background1"/>
                <w:sz w:val="24"/>
                <w:szCs w:val="24"/>
              </w:rPr>
            </w:pPr>
            <w:r w:rsidRPr="00566241">
              <w:rPr>
                <w:rFonts w:ascii="Arial" w:hAnsi="Arial" w:cs="Arial"/>
                <w:bCs/>
                <w:color w:val="FFFFFF" w:themeColor="background1"/>
                <w:sz w:val="24"/>
                <w:szCs w:val="24"/>
              </w:rPr>
              <w:t>MEASURES</w:t>
            </w:r>
          </w:p>
        </w:tc>
      </w:tr>
      <w:tr w:rsidR="009D15EA" w:rsidRPr="009D15EA" w14:paraId="48FE2942" w14:textId="77777777" w:rsidTr="000C7553">
        <w:tc>
          <w:tcPr>
            <w:tcW w:w="5102" w:type="dxa"/>
          </w:tcPr>
          <w:p w14:paraId="42BAEA42"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Effective workforce demographics to meet business needs</w:t>
            </w:r>
          </w:p>
        </w:tc>
        <w:tc>
          <w:tcPr>
            <w:tcW w:w="5104" w:type="dxa"/>
          </w:tcPr>
          <w:p w14:paraId="17B9ABBD"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Delivery of service provision</w:t>
            </w:r>
          </w:p>
        </w:tc>
      </w:tr>
      <w:tr w:rsidR="009D15EA" w:rsidRPr="009D15EA" w14:paraId="45658870" w14:textId="77777777" w:rsidTr="000C7553">
        <w:tc>
          <w:tcPr>
            <w:tcW w:w="5102" w:type="dxa"/>
          </w:tcPr>
          <w:p w14:paraId="59819A46"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Increased employee retention</w:t>
            </w:r>
          </w:p>
        </w:tc>
        <w:tc>
          <w:tcPr>
            <w:tcW w:w="5104" w:type="dxa"/>
          </w:tcPr>
          <w:p w14:paraId="5C084C57"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HR Management Information</w:t>
            </w:r>
          </w:p>
        </w:tc>
      </w:tr>
      <w:tr w:rsidR="009D15EA" w:rsidRPr="009D15EA" w14:paraId="6B756128" w14:textId="77777777" w:rsidTr="000C7553">
        <w:tc>
          <w:tcPr>
            <w:tcW w:w="5102" w:type="dxa"/>
          </w:tcPr>
          <w:p w14:paraId="632FFA91"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Consistency of Application</w:t>
            </w:r>
          </w:p>
        </w:tc>
        <w:tc>
          <w:tcPr>
            <w:tcW w:w="5104" w:type="dxa"/>
          </w:tcPr>
          <w:p w14:paraId="42AC6A43"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Reduction in appeals</w:t>
            </w:r>
          </w:p>
        </w:tc>
      </w:tr>
    </w:tbl>
    <w:p w14:paraId="111D2D0D" w14:textId="77777777" w:rsidR="00395C96" w:rsidRDefault="00395C96" w:rsidP="00395C96">
      <w:pPr>
        <w:pStyle w:val="SubHead"/>
        <w:rPr>
          <w:rFonts w:ascii="Arial Black" w:hAnsi="Arial Black" w:cs="Arial"/>
          <w:b w:val="0"/>
          <w:bCs/>
          <w:color w:val="31849B"/>
          <w:szCs w:val="28"/>
        </w:rPr>
      </w:pPr>
    </w:p>
    <w:p w14:paraId="27560665" w14:textId="77777777" w:rsidR="00395C96" w:rsidRDefault="00395C96" w:rsidP="000C7553">
      <w:pPr>
        <w:pStyle w:val="SubHead"/>
        <w:ind w:left="567" w:hanging="567"/>
        <w:rPr>
          <w:rFonts w:ascii="Arial Black" w:hAnsi="Arial Black" w:cs="Arial"/>
          <w:b w:val="0"/>
          <w:bCs/>
          <w:color w:val="31849B"/>
          <w:szCs w:val="28"/>
        </w:rPr>
      </w:pPr>
      <w:r>
        <w:rPr>
          <w:rFonts w:ascii="Arial Black" w:hAnsi="Arial Black" w:cs="Arial"/>
          <w:b w:val="0"/>
          <w:bCs/>
          <w:color w:val="31849B"/>
          <w:szCs w:val="28"/>
        </w:rPr>
        <w:t xml:space="preserve">Evaluation and Review </w:t>
      </w:r>
    </w:p>
    <w:p w14:paraId="2A400CC9" w14:textId="77777777" w:rsidR="00045A0A" w:rsidRDefault="00045A0A" w:rsidP="009D15EA">
      <w:pPr>
        <w:rPr>
          <w:rFonts w:cs="Arial"/>
        </w:rPr>
      </w:pPr>
    </w:p>
    <w:p w14:paraId="7637486B" w14:textId="77777777" w:rsidR="009D15EA" w:rsidRPr="009D15EA" w:rsidRDefault="009D15EA" w:rsidP="000C7553">
      <w:pPr>
        <w:rPr>
          <w:rFonts w:cs="Arial"/>
          <w:sz w:val="24"/>
        </w:rPr>
      </w:pPr>
      <w:r w:rsidRPr="009D15EA">
        <w:rPr>
          <w:rFonts w:cs="Arial"/>
          <w:sz w:val="24"/>
        </w:rPr>
        <w:t>This Policy and supporting Procedure and Guidelines will be evaluated at regular intervals using the outcomes and measures set out above.</w:t>
      </w:r>
    </w:p>
    <w:p w14:paraId="41E22310" w14:textId="77777777" w:rsidR="009D15EA" w:rsidRPr="009D15EA" w:rsidRDefault="009D15EA" w:rsidP="000C7553">
      <w:pPr>
        <w:rPr>
          <w:rFonts w:cs="Arial"/>
          <w:sz w:val="24"/>
        </w:rPr>
      </w:pPr>
    </w:p>
    <w:p w14:paraId="1B67EFC3" w14:textId="77777777" w:rsidR="009D15EA" w:rsidRPr="009D15EA" w:rsidRDefault="009D15EA" w:rsidP="000C7553">
      <w:pPr>
        <w:rPr>
          <w:rFonts w:cs="Arial"/>
          <w:sz w:val="24"/>
        </w:rPr>
      </w:pPr>
      <w:r w:rsidRPr="009D15EA">
        <w:rPr>
          <w:rFonts w:cs="Arial"/>
          <w:sz w:val="24"/>
        </w:rPr>
        <w:t>The performance management framework of National Indicators and Corporate Performance Indicators will be utilised where appropriate to evaluate and implement appropriate action if required.</w:t>
      </w:r>
    </w:p>
    <w:p w14:paraId="7D65C23C" w14:textId="77777777" w:rsidR="009D15EA" w:rsidRPr="009D15EA" w:rsidRDefault="009D15EA" w:rsidP="000C7553">
      <w:pPr>
        <w:rPr>
          <w:rFonts w:cs="Arial"/>
          <w:sz w:val="24"/>
        </w:rPr>
      </w:pPr>
    </w:p>
    <w:p w14:paraId="43D9730E" w14:textId="77777777" w:rsidR="009D15EA" w:rsidRPr="009D15EA" w:rsidRDefault="00054BD6" w:rsidP="000C7553">
      <w:pPr>
        <w:rPr>
          <w:rFonts w:cs="Arial"/>
          <w:sz w:val="24"/>
        </w:rPr>
      </w:pPr>
      <w:r>
        <w:rPr>
          <w:rFonts w:cs="Arial"/>
          <w:sz w:val="24"/>
        </w:rPr>
        <w:t>The People Management team</w:t>
      </w:r>
      <w:r w:rsidR="009D15EA" w:rsidRPr="009D15EA">
        <w:rPr>
          <w:rFonts w:cs="Arial"/>
          <w:sz w:val="24"/>
        </w:rPr>
        <w:t xml:space="preserve"> will issue procedures and guidelines to enact this Policy and these documents will have the force of this Policy.</w:t>
      </w:r>
    </w:p>
    <w:p w14:paraId="081FB249" w14:textId="77777777" w:rsidR="009D15EA" w:rsidRPr="009D15EA" w:rsidRDefault="009D15EA" w:rsidP="000C7553">
      <w:pPr>
        <w:rPr>
          <w:rFonts w:cs="Arial"/>
          <w:sz w:val="24"/>
        </w:rPr>
      </w:pPr>
    </w:p>
    <w:p w14:paraId="430757F6" w14:textId="6927D12B" w:rsidR="009D15EA" w:rsidRPr="009D15EA" w:rsidRDefault="009D15EA" w:rsidP="000C7553">
      <w:pPr>
        <w:rPr>
          <w:rFonts w:cs="Arial"/>
          <w:sz w:val="24"/>
        </w:rPr>
      </w:pPr>
      <w:proofErr w:type="gramStart"/>
      <w:r w:rsidRPr="009D15EA">
        <w:rPr>
          <w:rFonts w:cs="Arial"/>
          <w:sz w:val="24"/>
        </w:rPr>
        <w:t>In order to</w:t>
      </w:r>
      <w:proofErr w:type="gramEnd"/>
      <w:r w:rsidRPr="009D15EA">
        <w:rPr>
          <w:rFonts w:cs="Arial"/>
          <w:sz w:val="24"/>
        </w:rPr>
        <w:t xml:space="preserve"> ensure continuous improvement, the </w:t>
      </w:r>
      <w:r w:rsidR="003E7D27">
        <w:rPr>
          <w:rFonts w:cs="Arial"/>
          <w:sz w:val="24"/>
        </w:rPr>
        <w:t xml:space="preserve">relevant </w:t>
      </w:r>
      <w:r w:rsidR="00566241" w:rsidRPr="00566241">
        <w:rPr>
          <w:rFonts w:cs="Arial"/>
          <w:sz w:val="24"/>
        </w:rPr>
        <w:t xml:space="preserve">Assistant Director </w:t>
      </w:r>
      <w:r w:rsidRPr="009D15EA">
        <w:rPr>
          <w:rFonts w:cs="Arial"/>
          <w:sz w:val="24"/>
        </w:rPr>
        <w:t>has delegated authority to make amendments to the Procedure and Guidelines to meet best practice and legislative requirements.</w:t>
      </w:r>
    </w:p>
    <w:p w14:paraId="0BC6501D" w14:textId="77777777" w:rsidR="009D15EA" w:rsidRPr="009D15EA" w:rsidRDefault="009D15EA" w:rsidP="000C7553">
      <w:pPr>
        <w:rPr>
          <w:rFonts w:cs="Arial"/>
          <w:sz w:val="24"/>
        </w:rPr>
      </w:pPr>
    </w:p>
    <w:p w14:paraId="51FC108C" w14:textId="77777777" w:rsidR="00890D6C" w:rsidRPr="000D0DFF" w:rsidRDefault="009D15EA" w:rsidP="00054BD6">
      <w:pPr>
        <w:tabs>
          <w:tab w:val="left" w:pos="426"/>
        </w:tabs>
      </w:pPr>
      <w:r w:rsidRPr="009D15EA">
        <w:rPr>
          <w:rFonts w:cs="Arial"/>
          <w:sz w:val="24"/>
        </w:rPr>
        <w:t xml:space="preserve">This </w:t>
      </w:r>
      <w:r w:rsidR="00054BD6">
        <w:rPr>
          <w:rFonts w:cs="Arial"/>
          <w:sz w:val="24"/>
        </w:rPr>
        <w:t>p</w:t>
      </w:r>
      <w:r w:rsidRPr="009D15EA">
        <w:rPr>
          <w:rFonts w:cs="Arial"/>
          <w:sz w:val="24"/>
        </w:rPr>
        <w:t xml:space="preserve">olicy and supporting procedures and guidelines will be reviewed on an annual basis in the light of operating experience, changes in legislation, financial constraints facing the Council, or changes in Pension Regulations. </w:t>
      </w:r>
    </w:p>
    <w:sectPr w:rsidR="00890D6C" w:rsidRPr="000D0DFF" w:rsidSect="006A2DCC">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F669" w14:textId="77777777" w:rsidR="007E1BBC" w:rsidRDefault="007E1BBC">
      <w:r>
        <w:separator/>
      </w:r>
    </w:p>
  </w:endnote>
  <w:endnote w:type="continuationSeparator" w:id="0">
    <w:p w14:paraId="64D26326"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A07E" w14:textId="2CF5E02F"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1B1A51">
      <w:rPr>
        <w:rFonts w:cs="Arial"/>
        <w:b/>
        <w:noProof/>
        <w:color w:val="999999"/>
        <w:sz w:val="19"/>
        <w:szCs w:val="19"/>
      </w:rPr>
      <w:t>4</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t xml:space="preserve">  </w:t>
    </w:r>
    <w:r w:rsidR="00054BD6">
      <w:rPr>
        <w:rFonts w:cs="Arial"/>
        <w:b/>
        <w:color w:val="007EA9"/>
        <w:sz w:val="19"/>
        <w:szCs w:val="19"/>
      </w:rPr>
      <w:t xml:space="preserve"> Flexible </w:t>
    </w:r>
    <w:r w:rsidR="001652BC">
      <w:rPr>
        <w:rFonts w:cs="Arial"/>
        <w:b/>
        <w:color w:val="007EA9"/>
        <w:sz w:val="19"/>
        <w:szCs w:val="19"/>
      </w:rPr>
      <w:t>R</w:t>
    </w:r>
    <w:r w:rsidR="00054BD6">
      <w:rPr>
        <w:rFonts w:cs="Arial"/>
        <w:b/>
        <w:color w:val="007EA9"/>
        <w:sz w:val="19"/>
        <w:szCs w:val="19"/>
      </w:rPr>
      <w:t xml:space="preserve">etirement </w:t>
    </w:r>
    <w:r w:rsidR="001652BC">
      <w:rPr>
        <w:rFonts w:cs="Arial"/>
        <w:b/>
        <w:color w:val="007EA9"/>
        <w:sz w:val="19"/>
        <w:szCs w:val="19"/>
      </w:rPr>
      <w:t>P</w:t>
    </w:r>
    <w:r w:rsidR="00054BD6">
      <w:rPr>
        <w:rFonts w:cs="Arial"/>
        <w:b/>
        <w:color w:val="007EA9"/>
        <w:sz w:val="19"/>
        <w:szCs w:val="19"/>
      </w:rPr>
      <w:t>olicy/v</w:t>
    </w:r>
    <w:r w:rsidR="000817E3">
      <w:rPr>
        <w:rFonts w:cs="Arial"/>
        <w:b/>
        <w:color w:val="007EA9"/>
        <w:sz w:val="19"/>
        <w:szCs w:val="19"/>
      </w:rPr>
      <w:t>4</w:t>
    </w:r>
    <w:r w:rsidR="00543E04">
      <w:rPr>
        <w:rFonts w:cs="Arial"/>
        <w:b/>
        <w:color w:val="007EA9"/>
        <w:sz w:val="19"/>
        <w:szCs w:val="19"/>
      </w:rPr>
      <w:t>/</w:t>
    </w:r>
    <w:r w:rsidR="000817E3">
      <w:rPr>
        <w:rFonts w:cs="Arial"/>
        <w:b/>
        <w:color w:val="007EA9"/>
        <w:sz w:val="19"/>
        <w:szCs w:val="19"/>
      </w:rPr>
      <w:t>Feb2023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528E" w14:textId="5655D1B5" w:rsidR="003A3117" w:rsidRPr="003A23A5" w:rsidRDefault="00543E04" w:rsidP="00543E04">
    <w:pPr>
      <w:rPr>
        <w:rFonts w:cs="Arial"/>
        <w:b/>
        <w:color w:val="999999"/>
        <w:sz w:val="19"/>
        <w:szCs w:val="19"/>
      </w:rPr>
    </w:pPr>
    <w:r>
      <w:rPr>
        <w:rFonts w:cs="Arial"/>
        <w:b/>
        <w:color w:val="007EA9"/>
        <w:sz w:val="19"/>
        <w:szCs w:val="19"/>
      </w:rPr>
      <w:t xml:space="preserve">Flexible </w:t>
    </w:r>
    <w:r w:rsidR="001652BC">
      <w:rPr>
        <w:rFonts w:cs="Arial"/>
        <w:b/>
        <w:color w:val="007EA9"/>
        <w:sz w:val="19"/>
        <w:szCs w:val="19"/>
      </w:rPr>
      <w:t>R</w:t>
    </w:r>
    <w:r>
      <w:rPr>
        <w:rFonts w:cs="Arial"/>
        <w:b/>
        <w:color w:val="007EA9"/>
        <w:sz w:val="19"/>
        <w:szCs w:val="19"/>
      </w:rPr>
      <w:t xml:space="preserve">etirement </w:t>
    </w:r>
    <w:r w:rsidR="001652BC">
      <w:rPr>
        <w:rFonts w:cs="Arial"/>
        <w:b/>
        <w:color w:val="007EA9"/>
        <w:sz w:val="19"/>
        <w:szCs w:val="19"/>
      </w:rPr>
      <w:t>P</w:t>
    </w:r>
    <w:r>
      <w:rPr>
        <w:rFonts w:cs="Arial"/>
        <w:b/>
        <w:color w:val="007EA9"/>
        <w:sz w:val="19"/>
        <w:szCs w:val="19"/>
      </w:rPr>
      <w:t>olicy/v</w:t>
    </w:r>
    <w:r w:rsidR="000817E3">
      <w:rPr>
        <w:rFonts w:cs="Arial"/>
        <w:b/>
        <w:color w:val="007EA9"/>
        <w:sz w:val="19"/>
        <w:szCs w:val="19"/>
      </w:rPr>
      <w:t>4</w:t>
    </w:r>
    <w:r>
      <w:rPr>
        <w:rFonts w:cs="Arial"/>
        <w:b/>
        <w:color w:val="007EA9"/>
        <w:sz w:val="19"/>
        <w:szCs w:val="19"/>
      </w:rPr>
      <w:t>/</w:t>
    </w:r>
    <w:r w:rsidR="000817E3">
      <w:rPr>
        <w:rFonts w:cs="Arial"/>
        <w:b/>
        <w:color w:val="007EA9"/>
        <w:sz w:val="19"/>
        <w:szCs w:val="19"/>
      </w:rPr>
      <w:t>Feb2023</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BE6A76">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BC5"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0D6C" w14:textId="77777777" w:rsidR="007E1BBC" w:rsidRDefault="007E1BBC">
      <w:r>
        <w:separator/>
      </w:r>
    </w:p>
  </w:footnote>
  <w:footnote w:type="continuationSeparator" w:id="0">
    <w:p w14:paraId="59DD9567"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CAD9"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4AFB90DE"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FF16AAB"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5B95E9A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1327D99"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E5EE" w14:textId="77777777" w:rsidR="003A3117" w:rsidRDefault="003A3117" w:rsidP="000D0DFF">
    <w:pPr>
      <w:tabs>
        <w:tab w:val="left" w:pos="0"/>
      </w:tabs>
      <w:ind w:left="-851" w:right="-56"/>
      <w:jc w:val="right"/>
      <w:rPr>
        <w:rFonts w:cs="Arial"/>
        <w:b/>
        <w:color w:val="007EA9"/>
        <w:sz w:val="19"/>
        <w:szCs w:val="19"/>
      </w:rPr>
    </w:pPr>
  </w:p>
  <w:p w14:paraId="7699B67F" w14:textId="77777777" w:rsidR="003A3117" w:rsidRDefault="003A3117" w:rsidP="000D0DFF">
    <w:pPr>
      <w:tabs>
        <w:tab w:val="left" w:pos="0"/>
      </w:tabs>
      <w:ind w:left="-851" w:right="-56"/>
      <w:jc w:val="right"/>
      <w:rPr>
        <w:rFonts w:cs="Arial"/>
        <w:b/>
        <w:color w:val="007EA9"/>
        <w:sz w:val="19"/>
        <w:szCs w:val="19"/>
      </w:rPr>
    </w:pPr>
  </w:p>
  <w:p w14:paraId="01FB1A94" w14:textId="77777777" w:rsidR="003A3117" w:rsidRDefault="00543E04"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r>
      <w:rPr>
        <w:rFonts w:cs="Arial"/>
        <w:b/>
        <w:color w:val="007EA9"/>
        <w:sz w:val="19"/>
        <w:szCs w:val="19"/>
      </w:rPr>
      <w:t xml:space="preserve"> </w:t>
    </w:r>
  </w:p>
  <w:p w14:paraId="19375DB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7C13B117"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F100" w14:textId="77777777" w:rsidR="003A3117" w:rsidRDefault="00D077D9" w:rsidP="004B0EBD">
    <w:pPr>
      <w:ind w:left="-851"/>
    </w:pPr>
    <w:r>
      <w:rPr>
        <w:noProof/>
      </w:rPr>
      <w:drawing>
        <wp:inline distT="0" distB="0" distL="0" distR="0" wp14:anchorId="343F2071" wp14:editId="74CC52A2">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4D91"/>
    <w:multiLevelType w:val="hybridMultilevel"/>
    <w:tmpl w:val="F5F8E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66192"/>
    <w:multiLevelType w:val="hybridMultilevel"/>
    <w:tmpl w:val="2E4A3C26"/>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C776308"/>
    <w:multiLevelType w:val="hybridMultilevel"/>
    <w:tmpl w:val="66AA12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4B7B3E"/>
    <w:multiLevelType w:val="hybridMultilevel"/>
    <w:tmpl w:val="730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01566C"/>
    <w:multiLevelType w:val="hybridMultilevel"/>
    <w:tmpl w:val="89A4DC68"/>
    <w:lvl w:ilvl="0" w:tplc="90081A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08C79DD"/>
    <w:multiLevelType w:val="hybridMultilevel"/>
    <w:tmpl w:val="CD9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102B9"/>
    <w:multiLevelType w:val="hybridMultilevel"/>
    <w:tmpl w:val="2FB827BC"/>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840327">
    <w:abstractNumId w:val="0"/>
  </w:num>
  <w:num w:numId="2" w16cid:durableId="1898125260">
    <w:abstractNumId w:val="8"/>
  </w:num>
  <w:num w:numId="3" w16cid:durableId="1342588197">
    <w:abstractNumId w:val="4"/>
  </w:num>
  <w:num w:numId="4" w16cid:durableId="823357788">
    <w:abstractNumId w:val="12"/>
  </w:num>
  <w:num w:numId="5" w16cid:durableId="145783548">
    <w:abstractNumId w:val="7"/>
  </w:num>
  <w:num w:numId="6" w16cid:durableId="864169996">
    <w:abstractNumId w:val="10"/>
  </w:num>
  <w:num w:numId="7" w16cid:durableId="712777903">
    <w:abstractNumId w:val="1"/>
  </w:num>
  <w:num w:numId="8" w16cid:durableId="140776076">
    <w:abstractNumId w:val="6"/>
  </w:num>
  <w:num w:numId="9" w16cid:durableId="1880706633">
    <w:abstractNumId w:val="14"/>
  </w:num>
  <w:num w:numId="10" w16cid:durableId="1193877728">
    <w:abstractNumId w:val="2"/>
  </w:num>
  <w:num w:numId="11" w16cid:durableId="28460633">
    <w:abstractNumId w:val="9"/>
  </w:num>
  <w:num w:numId="12" w16cid:durableId="756708035">
    <w:abstractNumId w:val="13"/>
  </w:num>
  <w:num w:numId="13" w16cid:durableId="699671045">
    <w:abstractNumId w:val="3"/>
  </w:num>
  <w:num w:numId="14" w16cid:durableId="249702511">
    <w:abstractNumId w:val="15"/>
  </w:num>
  <w:num w:numId="15" w16cid:durableId="28343949">
    <w:abstractNumId w:val="11"/>
  </w:num>
  <w:num w:numId="16" w16cid:durableId="176445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09F3"/>
    <w:rsid w:val="00045A0A"/>
    <w:rsid w:val="00054BD6"/>
    <w:rsid w:val="00055692"/>
    <w:rsid w:val="00061865"/>
    <w:rsid w:val="000655C3"/>
    <w:rsid w:val="0007373B"/>
    <w:rsid w:val="000817E3"/>
    <w:rsid w:val="000A2AD3"/>
    <w:rsid w:val="000B6949"/>
    <w:rsid w:val="000B69A7"/>
    <w:rsid w:val="000B712A"/>
    <w:rsid w:val="000C1774"/>
    <w:rsid w:val="000C5582"/>
    <w:rsid w:val="000C62F0"/>
    <w:rsid w:val="000C7553"/>
    <w:rsid w:val="000D0DFF"/>
    <w:rsid w:val="000E2C35"/>
    <w:rsid w:val="000E32BD"/>
    <w:rsid w:val="000E549B"/>
    <w:rsid w:val="000E79FD"/>
    <w:rsid w:val="000F0209"/>
    <w:rsid w:val="000F31FE"/>
    <w:rsid w:val="000F5297"/>
    <w:rsid w:val="000F5CAF"/>
    <w:rsid w:val="000F65D9"/>
    <w:rsid w:val="000F6F93"/>
    <w:rsid w:val="001068B7"/>
    <w:rsid w:val="00135432"/>
    <w:rsid w:val="00144743"/>
    <w:rsid w:val="00144E71"/>
    <w:rsid w:val="00161CDF"/>
    <w:rsid w:val="001652BC"/>
    <w:rsid w:val="00170CE1"/>
    <w:rsid w:val="00192267"/>
    <w:rsid w:val="0019228D"/>
    <w:rsid w:val="00196EB5"/>
    <w:rsid w:val="001A0858"/>
    <w:rsid w:val="001A28C4"/>
    <w:rsid w:val="001A2B01"/>
    <w:rsid w:val="001A6C88"/>
    <w:rsid w:val="001A6D98"/>
    <w:rsid w:val="001B1A51"/>
    <w:rsid w:val="001B2021"/>
    <w:rsid w:val="001B3E85"/>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165"/>
    <w:rsid w:val="0023224B"/>
    <w:rsid w:val="002322B3"/>
    <w:rsid w:val="00242986"/>
    <w:rsid w:val="00257439"/>
    <w:rsid w:val="00262990"/>
    <w:rsid w:val="002630D4"/>
    <w:rsid w:val="00265789"/>
    <w:rsid w:val="002658D5"/>
    <w:rsid w:val="00275F83"/>
    <w:rsid w:val="002A3987"/>
    <w:rsid w:val="002A5203"/>
    <w:rsid w:val="002A52EB"/>
    <w:rsid w:val="002B4ED4"/>
    <w:rsid w:val="002B50B8"/>
    <w:rsid w:val="002C0E85"/>
    <w:rsid w:val="002D1E19"/>
    <w:rsid w:val="002D2913"/>
    <w:rsid w:val="002E5A18"/>
    <w:rsid w:val="002E6BB1"/>
    <w:rsid w:val="002F6191"/>
    <w:rsid w:val="003078CE"/>
    <w:rsid w:val="00310CE5"/>
    <w:rsid w:val="0031455F"/>
    <w:rsid w:val="0034154E"/>
    <w:rsid w:val="00345F8A"/>
    <w:rsid w:val="00352DC9"/>
    <w:rsid w:val="00361F2C"/>
    <w:rsid w:val="00373C28"/>
    <w:rsid w:val="003753CB"/>
    <w:rsid w:val="00385FF9"/>
    <w:rsid w:val="00395C96"/>
    <w:rsid w:val="00397922"/>
    <w:rsid w:val="003A1DCD"/>
    <w:rsid w:val="003A23A5"/>
    <w:rsid w:val="003A3117"/>
    <w:rsid w:val="003A7FC7"/>
    <w:rsid w:val="003B2690"/>
    <w:rsid w:val="003C3FBE"/>
    <w:rsid w:val="003D18FB"/>
    <w:rsid w:val="003D2E11"/>
    <w:rsid w:val="003D5EC2"/>
    <w:rsid w:val="003E2C80"/>
    <w:rsid w:val="003E7D27"/>
    <w:rsid w:val="003F1DA2"/>
    <w:rsid w:val="004021D3"/>
    <w:rsid w:val="00413E8D"/>
    <w:rsid w:val="00424F31"/>
    <w:rsid w:val="004253EA"/>
    <w:rsid w:val="004263CF"/>
    <w:rsid w:val="00427035"/>
    <w:rsid w:val="004459E2"/>
    <w:rsid w:val="004553D8"/>
    <w:rsid w:val="004600CD"/>
    <w:rsid w:val="00466A62"/>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3E04"/>
    <w:rsid w:val="005464C2"/>
    <w:rsid w:val="00546F07"/>
    <w:rsid w:val="00547376"/>
    <w:rsid w:val="005536FF"/>
    <w:rsid w:val="00555AB3"/>
    <w:rsid w:val="00566241"/>
    <w:rsid w:val="00566707"/>
    <w:rsid w:val="00573C11"/>
    <w:rsid w:val="005746CF"/>
    <w:rsid w:val="0058122A"/>
    <w:rsid w:val="0058330C"/>
    <w:rsid w:val="00593EDE"/>
    <w:rsid w:val="005A2F69"/>
    <w:rsid w:val="005A552F"/>
    <w:rsid w:val="005D0D28"/>
    <w:rsid w:val="005D2708"/>
    <w:rsid w:val="005D3D9B"/>
    <w:rsid w:val="005D7111"/>
    <w:rsid w:val="005E7C71"/>
    <w:rsid w:val="005F11C8"/>
    <w:rsid w:val="005F68F0"/>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6F3CFF"/>
    <w:rsid w:val="00705CD3"/>
    <w:rsid w:val="0070771E"/>
    <w:rsid w:val="007079BC"/>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E658E"/>
    <w:rsid w:val="007F0F4C"/>
    <w:rsid w:val="007F6EFB"/>
    <w:rsid w:val="008139D7"/>
    <w:rsid w:val="008170FF"/>
    <w:rsid w:val="0082719D"/>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A64D3"/>
    <w:rsid w:val="009C192A"/>
    <w:rsid w:val="009C523D"/>
    <w:rsid w:val="009D15EA"/>
    <w:rsid w:val="009E1CCA"/>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3B3"/>
    <w:rsid w:val="00AC059D"/>
    <w:rsid w:val="00AC206F"/>
    <w:rsid w:val="00AC45B8"/>
    <w:rsid w:val="00AD5A2A"/>
    <w:rsid w:val="00AE6647"/>
    <w:rsid w:val="00B0040E"/>
    <w:rsid w:val="00B048F4"/>
    <w:rsid w:val="00B104CE"/>
    <w:rsid w:val="00B20111"/>
    <w:rsid w:val="00B2128D"/>
    <w:rsid w:val="00B23E90"/>
    <w:rsid w:val="00B26FAE"/>
    <w:rsid w:val="00B31704"/>
    <w:rsid w:val="00B34EE6"/>
    <w:rsid w:val="00B34F57"/>
    <w:rsid w:val="00B40CE0"/>
    <w:rsid w:val="00B47F44"/>
    <w:rsid w:val="00B55433"/>
    <w:rsid w:val="00B609B3"/>
    <w:rsid w:val="00B66EFC"/>
    <w:rsid w:val="00B83907"/>
    <w:rsid w:val="00BA2E7E"/>
    <w:rsid w:val="00BA4EB6"/>
    <w:rsid w:val="00BB2CE8"/>
    <w:rsid w:val="00BB7B19"/>
    <w:rsid w:val="00BC153B"/>
    <w:rsid w:val="00BD20F8"/>
    <w:rsid w:val="00BD3892"/>
    <w:rsid w:val="00BE419D"/>
    <w:rsid w:val="00BE6A76"/>
    <w:rsid w:val="00BE71E6"/>
    <w:rsid w:val="00C03071"/>
    <w:rsid w:val="00C04261"/>
    <w:rsid w:val="00C13F95"/>
    <w:rsid w:val="00C175AB"/>
    <w:rsid w:val="00C2249C"/>
    <w:rsid w:val="00C264BB"/>
    <w:rsid w:val="00C41CA7"/>
    <w:rsid w:val="00C64533"/>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25B60"/>
    <w:rsid w:val="00D33DBA"/>
    <w:rsid w:val="00D3429B"/>
    <w:rsid w:val="00D372A0"/>
    <w:rsid w:val="00D405A1"/>
    <w:rsid w:val="00D40C79"/>
    <w:rsid w:val="00D60555"/>
    <w:rsid w:val="00D64D06"/>
    <w:rsid w:val="00D6549A"/>
    <w:rsid w:val="00D71910"/>
    <w:rsid w:val="00D73723"/>
    <w:rsid w:val="00D752DB"/>
    <w:rsid w:val="00D76338"/>
    <w:rsid w:val="00D77208"/>
    <w:rsid w:val="00D82FC9"/>
    <w:rsid w:val="00D84230"/>
    <w:rsid w:val="00D96738"/>
    <w:rsid w:val="00DA7B81"/>
    <w:rsid w:val="00DB5C93"/>
    <w:rsid w:val="00DC396A"/>
    <w:rsid w:val="00DD4E1A"/>
    <w:rsid w:val="00DE060E"/>
    <w:rsid w:val="00DE62A0"/>
    <w:rsid w:val="00DF4AB0"/>
    <w:rsid w:val="00E04EB4"/>
    <w:rsid w:val="00E053AA"/>
    <w:rsid w:val="00E12B8F"/>
    <w:rsid w:val="00E21865"/>
    <w:rsid w:val="00E36C2C"/>
    <w:rsid w:val="00E5206A"/>
    <w:rsid w:val="00E52080"/>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C5E43"/>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E415C"/>
  <w15:docId w15:val="{E8F15F29-2ABB-407C-8CF4-F93BC92F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9D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5CA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6285-A085-4A86-8257-6319A5B8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980</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6220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Armstrong, Angela C</cp:lastModifiedBy>
  <cp:revision>6</cp:revision>
  <cp:lastPrinted>1901-01-01T00:00:00Z</cp:lastPrinted>
  <dcterms:created xsi:type="dcterms:W3CDTF">2023-01-25T16:56:00Z</dcterms:created>
  <dcterms:modified xsi:type="dcterms:W3CDTF">2023-02-03T10:57:00Z</dcterms:modified>
</cp:coreProperties>
</file>